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2" w:rsidRPr="00242D87" w:rsidRDefault="00B215D2" w:rsidP="00B215D2">
      <w:pPr>
        <w:jc w:val="center"/>
        <w:rPr>
          <w:b/>
          <w:sz w:val="32"/>
          <w:szCs w:val="32"/>
          <w:lang w:val="x-none" w:eastAsia="x-none"/>
        </w:rPr>
      </w:pPr>
      <w:r w:rsidRPr="00242D87">
        <w:rPr>
          <w:b/>
          <w:sz w:val="32"/>
          <w:szCs w:val="32"/>
          <w:lang w:val="x-none" w:eastAsia="x-none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Pr="00242D87">
        <w:rPr>
          <w:bCs/>
          <w:szCs w:val="20"/>
        </w:rPr>
        <w:t>________ 202</w:t>
      </w:r>
      <w:r w:rsidR="0024551D">
        <w:rPr>
          <w:bCs/>
          <w:szCs w:val="20"/>
        </w:rPr>
        <w:t>2</w:t>
      </w:r>
      <w:r w:rsidRPr="00242D87">
        <w:rPr>
          <w:bCs/>
          <w:szCs w:val="20"/>
        </w:rPr>
        <w:t xml:space="preserve"> года</w:t>
      </w:r>
      <w:r w:rsidRPr="00242D87">
        <w:rPr>
          <w:b/>
          <w:szCs w:val="20"/>
        </w:rPr>
        <w:t xml:space="preserve">  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>внесении изменений в постановление администрации Туркменского муниципального округа Ставропольского края от 23 июля 2021 года № 657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C6238B" w:rsidRPr="00C6238B">
        <w:rPr>
          <w:kern w:val="1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B215D2" w:rsidRPr="00242D87">
        <w:rPr>
          <w:kern w:val="1"/>
          <w:lang w:eastAsia="ar-SA"/>
        </w:rPr>
        <w:t>»</w:t>
      </w:r>
      <w:proofErr w:type="gramEnd"/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B215D2" w:rsidRPr="00242D87" w:rsidRDefault="00CF4025" w:rsidP="00CF4025">
      <w:pPr>
        <w:ind w:firstLine="708"/>
        <w:jc w:val="both"/>
      </w:pPr>
      <w:r>
        <w:t xml:space="preserve"> </w:t>
      </w: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государственного контроля (надзора)»,</w:t>
      </w:r>
      <w:r>
        <w:t xml:space="preserve"> </w:t>
      </w:r>
      <w:r>
        <w:t xml:space="preserve">администрация Туркменского муниципального округа </w:t>
      </w:r>
      <w:r>
        <w:t>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proofErr w:type="gramStart"/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Pr="00242D87">
        <w:rPr>
          <w:color w:val="000000"/>
        </w:rPr>
        <w:t>«</w:t>
      </w:r>
      <w:r w:rsidR="00C6238B" w:rsidRPr="00C6238B"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242D87">
        <w:t xml:space="preserve">»,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 xml:space="preserve">края от 23 июля 2021 года № 657, </w:t>
      </w:r>
      <w:r w:rsidRPr="00242D87">
        <w:t xml:space="preserve">согласно приложению. </w:t>
      </w:r>
      <w:proofErr w:type="gramEnd"/>
    </w:p>
    <w:p w:rsidR="008017C1" w:rsidRDefault="00B215D2" w:rsidP="008017C1">
      <w:pPr>
        <w:jc w:val="both"/>
      </w:pPr>
      <w:r w:rsidRPr="00242D87"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lastRenderedPageBreak/>
        <w:t>заместителя главы администрац</w:t>
      </w:r>
      <w:r>
        <w:t>ии Туркменского муниципального округа</w:t>
      </w:r>
      <w:r>
        <w:t xml:space="preserve"> Лысенко Ю.Ф.</w:t>
      </w:r>
    </w:p>
    <w:p w:rsidR="00B215D2" w:rsidRPr="00242D87" w:rsidRDefault="008017C1" w:rsidP="008017C1">
      <w:pPr>
        <w:jc w:val="both"/>
      </w:pPr>
      <w:r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proofErr w:type="spellStart"/>
      <w:r w:rsidR="00B215D2" w:rsidRPr="00242D87">
        <w:t>Г.В.Ефимов</w:t>
      </w:r>
      <w:proofErr w:type="spellEnd"/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____________ 20</w:t>
      </w:r>
      <w:r>
        <w:t>22</w:t>
      </w:r>
      <w:r w:rsidRPr="00C913F0">
        <w:t xml:space="preserve"> года № _______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 w:rsidRPr="00C913F0">
        <w:rPr>
          <w:rFonts w:eastAsia="Arial"/>
          <w:bCs/>
          <w:kern w:val="28"/>
          <w:lang w:eastAsia="ar-SA"/>
        </w:rPr>
        <w:t xml:space="preserve">1. </w:t>
      </w:r>
      <w:r>
        <w:rPr>
          <w:rFonts w:eastAsia="Arial"/>
          <w:bCs/>
          <w:kern w:val="28"/>
          <w:lang w:eastAsia="ar-SA"/>
        </w:rPr>
        <w:t>Пункт 1.2 дополнить абзацем следующего содержания:</w:t>
      </w:r>
    </w:p>
    <w:p w:rsidR="00C913F0" w:rsidRP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8017C1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2. </w:t>
      </w:r>
      <w:r w:rsidR="006B639F">
        <w:rPr>
          <w:rFonts w:eastAsia="Arial"/>
          <w:bCs/>
          <w:kern w:val="28"/>
          <w:lang w:eastAsia="ar-SA"/>
        </w:rPr>
        <w:t>В разделе 2 «Стандарт предоставления государственной услуги»: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 В пункте 2.6: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2.1.1. В абзацах шестом и седьмом слова «заверенные копии» заменить словами «заверенные заявителем копии».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2.1.2. В абзаце восьмом слова «заверенная копия» заменить словами «заверенная заявителем копия».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2.2. Пункт 2.7 после абзаца пятого дополнить абзацем следующего содержания: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proofErr w:type="gramStart"/>
      <w:r>
        <w:rPr>
          <w:rFonts w:eastAsia="Arial"/>
          <w:bCs/>
          <w:kern w:val="28"/>
          <w:lang w:eastAsia="ar-SA"/>
        </w:rPr>
        <w:t>«представления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законами;».</w:t>
      </w:r>
      <w:proofErr w:type="gramEnd"/>
    </w:p>
    <w:p w:rsidR="004E642D" w:rsidRDefault="004E642D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2.3. Абзац седьмой пункта 2.15 после слова «отчества» дополнить словами «(при наличии)».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2.4. Дополнить пунктом 2.18 следующего содержания: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«2.18. Случаи и порядок предоставления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 xml:space="preserve">) режиме в соответствии с частью 1 статьи 7.3 </w:t>
      </w:r>
      <w:r>
        <w:rPr>
          <w:rFonts w:eastAsia="Arial"/>
          <w:bCs/>
          <w:kern w:val="28"/>
          <w:lang w:eastAsia="ar-SA"/>
        </w:rPr>
        <w:lastRenderedPageBreak/>
        <w:t>Федерального закона «Об организации предоставления государственных и муниципальных услуг»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Предоставление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>) режиме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180633" w:rsidRDefault="00180633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</w:pPr>
      <w:r>
        <w:rPr>
          <w:rFonts w:eastAsia="Arial"/>
          <w:bCs/>
          <w:kern w:val="28"/>
          <w:lang w:eastAsia="ar-SA"/>
        </w:rPr>
        <w:t>3. Реквизит «Подпись» приложений 3-7 к Административному регламенту после слова «отчество» дополнить словами «(при наличии)».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5E6059" w:rsidRDefault="005E6059" w:rsidP="005E6059">
      <w:r>
        <w:t>Первый з</w:t>
      </w:r>
      <w:r>
        <w:t>аместитель главы администрации</w:t>
      </w:r>
    </w:p>
    <w:p w:rsidR="005E6059" w:rsidRDefault="005E6059" w:rsidP="005E6059">
      <w:r>
        <w:t>Туркменского муниципального округа</w:t>
      </w:r>
      <w:r>
        <w:t xml:space="preserve"> </w:t>
      </w:r>
    </w:p>
    <w:p w:rsidR="008017C1" w:rsidRDefault="005E6059" w:rsidP="005E6059">
      <w:r>
        <w:t xml:space="preserve">Ставропольского края                        </w:t>
      </w:r>
      <w:bookmarkStart w:id="0" w:name="_GoBack"/>
      <w:bookmarkEnd w:id="0"/>
      <w:r>
        <w:t xml:space="preserve">                                                 С.А.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F"/>
    <w:rsid w:val="0003798C"/>
    <w:rsid w:val="00180633"/>
    <w:rsid w:val="0024551D"/>
    <w:rsid w:val="002B154F"/>
    <w:rsid w:val="003D1EF6"/>
    <w:rsid w:val="003F521C"/>
    <w:rsid w:val="004844BF"/>
    <w:rsid w:val="004E642D"/>
    <w:rsid w:val="005E6059"/>
    <w:rsid w:val="006B639F"/>
    <w:rsid w:val="007623E8"/>
    <w:rsid w:val="008017C1"/>
    <w:rsid w:val="009C4EE8"/>
    <w:rsid w:val="00A27EB4"/>
    <w:rsid w:val="00B215D2"/>
    <w:rsid w:val="00C6238B"/>
    <w:rsid w:val="00C913F0"/>
    <w:rsid w:val="00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Ахметжанова ГШ</cp:lastModifiedBy>
  <cp:revision>15</cp:revision>
  <cp:lastPrinted>2022-01-06T07:31:00Z</cp:lastPrinted>
  <dcterms:created xsi:type="dcterms:W3CDTF">2021-05-21T12:16:00Z</dcterms:created>
  <dcterms:modified xsi:type="dcterms:W3CDTF">2022-01-06T07:31:00Z</dcterms:modified>
</cp:coreProperties>
</file>