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color w:themeColor="text1" w:val="000000"/>
          <w:sz w:val="28"/>
          <w:szCs w:val="28"/>
        </w:rPr>
      </w:pPr>
      <w:r>
        <w:rPr>
          <w:color w:themeColor="text1" w:val="000000"/>
          <w:sz w:val="28"/>
          <w:szCs w:val="28"/>
        </w:rPr>
        <w:t xml:space="preserve">                                            </w:t>
      </w:r>
    </w:p>
    <w:p>
      <w:pPr>
        <w:pStyle w:val="Normal"/>
        <w:jc w:val="center"/>
        <w:rPr>
          <w:color w:themeColor="text1" w:val="000000"/>
          <w:sz w:val="28"/>
          <w:szCs w:val="28"/>
        </w:rPr>
      </w:pPr>
      <w:r>
        <w:rPr>
          <w:color w:themeColor="text1" w:val="000000"/>
          <w:sz w:val="28"/>
          <w:szCs w:val="28"/>
        </w:rPr>
        <w:t xml:space="preserve">Пояснительная  записка </w:t>
      </w:r>
    </w:p>
    <w:p>
      <w:pPr>
        <w:pStyle w:val="Normal"/>
        <w:jc w:val="center"/>
        <w:rPr>
          <w:color w:themeColor="text1" w:val="000000"/>
          <w:sz w:val="28"/>
          <w:szCs w:val="28"/>
        </w:rPr>
      </w:pPr>
      <w:r>
        <w:rPr>
          <w:color w:themeColor="text1" w:val="000000"/>
          <w:sz w:val="28"/>
          <w:szCs w:val="28"/>
        </w:rPr>
        <w:t xml:space="preserve">к прогнозу социально-экономического развития Туркменского </w:t>
      </w:r>
    </w:p>
    <w:p>
      <w:pPr>
        <w:pStyle w:val="Normal"/>
        <w:jc w:val="center"/>
        <w:rPr>
          <w:color w:themeColor="text1" w:val="000000"/>
          <w:sz w:val="28"/>
          <w:szCs w:val="28"/>
        </w:rPr>
      </w:pPr>
      <w:r>
        <w:rPr>
          <w:color w:themeColor="text1" w:val="000000"/>
          <w:sz w:val="28"/>
          <w:szCs w:val="28"/>
        </w:rPr>
        <w:t>муниципального округа Ставропольского края на период до 2036 года</w:t>
      </w:r>
    </w:p>
    <w:p>
      <w:pPr>
        <w:pStyle w:val="Normal"/>
        <w:jc w:val="center"/>
        <w:rPr>
          <w:color w:themeColor="text1" w:val="000000"/>
          <w:sz w:val="28"/>
          <w:szCs w:val="28"/>
        </w:rPr>
      </w:pPr>
      <w:r>
        <w:rPr>
          <w:color w:themeColor="text1" w:val="000000"/>
          <w:sz w:val="28"/>
          <w:szCs w:val="28"/>
        </w:rPr>
      </w:r>
    </w:p>
    <w:p>
      <w:pPr>
        <w:pStyle w:val="Normal"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Прогноз </w:t>
      </w:r>
      <w:r>
        <w:rPr>
          <w:sz w:val="28"/>
          <w:szCs w:val="28"/>
        </w:rPr>
        <w:t xml:space="preserve">социально-экономического развития </w:t>
      </w:r>
      <w:r>
        <w:rPr>
          <w:color w:themeColor="text1" w:val="000000"/>
          <w:sz w:val="28"/>
          <w:szCs w:val="28"/>
        </w:rPr>
        <w:t>Туркменского муниципального</w:t>
      </w:r>
      <w:r>
        <w:rPr>
          <w:sz w:val="28"/>
          <w:szCs w:val="28"/>
        </w:rPr>
        <w:t xml:space="preserve"> округа Ставропольского края на период до 2036 года (далее — Прогноз, округ) является документом стратегического планирования и </w:t>
      </w:r>
      <w:r>
        <w:rPr>
          <w:rFonts w:cs="Times New Roman"/>
          <w:sz w:val="28"/>
          <w:szCs w:val="28"/>
        </w:rPr>
        <w:t>разработан во исполнение статьи 33 Федерального закона от 28 июня 2014 г. № 172-ФЗ «О стратегическом планировании в Российской Федерации», Указа Президента Российской Федерации от 07 мая 2024 года № 309 «О национальных целях развития Российской Федерации на период до 2030 года и на перспективу до 2036 года».</w:t>
      </w:r>
      <w:r>
        <w:rPr>
          <w:sz w:val="28"/>
          <w:szCs w:val="28"/>
        </w:rPr>
        <w:t>.</w:t>
      </w:r>
    </w:p>
    <w:p>
      <w:pPr>
        <w:pStyle w:val="Normal"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Прогноз </w:t>
      </w:r>
      <w:r>
        <w:rPr>
          <w:sz w:val="28"/>
          <w:szCs w:val="28"/>
        </w:rPr>
        <w:t>разработан отделом экономического развития и закупок администрации округа на плановый период до 2036 года на основе:</w:t>
      </w:r>
    </w:p>
    <w:p>
      <w:pPr>
        <w:pStyle w:val="Normal"/>
        <w:ind w:firstLine="708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 xml:space="preserve">статистических данных, предоставленных Управлением Федеральной службы государственной статистики по Северо-Кавказскому федеральному округу </w:t>
      </w:r>
      <w:r>
        <w:rPr>
          <w:sz w:val="28"/>
          <w:szCs w:val="28"/>
        </w:rPr>
        <w:t xml:space="preserve">о социально-экономическом развитии  округа за 2024 год и 1 квартал </w:t>
      </w:r>
      <w:r>
        <w:rPr>
          <w:sz w:val="28"/>
          <w:szCs w:val="28"/>
          <w:shd w:fill="FFFFFF" w:val="clear"/>
        </w:rPr>
        <w:t>2025 года;</w:t>
      </w:r>
    </w:p>
    <w:p>
      <w:pPr>
        <w:pStyle w:val="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данных,  представленных  </w:t>
      </w:r>
      <w:r>
        <w:rPr>
          <w:rFonts w:cs="Times New Roman"/>
          <w:sz w:val="28"/>
          <w:szCs w:val="28"/>
        </w:rPr>
        <w:t>отделами, отраслевыми  (функциональными)  территориальными органами администрации округа.</w:t>
      </w:r>
    </w:p>
    <w:p>
      <w:pPr>
        <w:pStyle w:val="BodyText"/>
        <w:spacing w:lineRule="auto" w:line="240" w:before="0" w:after="0"/>
        <w:ind w:hanging="0"/>
        <w:jc w:val="both"/>
        <w:rPr>
          <w:rFonts w:eastAsia="Times New Roman"/>
          <w:sz w:val="28"/>
          <w:szCs w:val="28"/>
        </w:rPr>
      </w:pPr>
      <w:r>
        <w:rPr>
          <w:rFonts w:cs="Times New Roman"/>
          <w:sz w:val="28"/>
          <w:szCs w:val="28"/>
          <w:lang w:eastAsia="en-US"/>
        </w:rPr>
        <w:tab/>
        <w:t xml:space="preserve">Прогноз разработан </w:t>
      </w:r>
      <w:r>
        <w:rPr>
          <w:rFonts w:cs="Times New Roman"/>
          <w:color w:val="000000"/>
          <w:sz w:val="28"/>
          <w:szCs w:val="28"/>
        </w:rPr>
        <w:t xml:space="preserve">в трех основных вариантах: консервативный, базовый и целевой. </w:t>
      </w:r>
    </w:p>
    <w:p>
      <w:pPr>
        <w:pStyle w:val="BodyText"/>
        <w:spacing w:lineRule="auto" w:line="240" w:before="0" w:after="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Базовый вариант Прогноза основан на консервативных оценках темпов социально-экономического развития Ставропольского края и округа  при сохранении основных тенденций изменения эффективности использования ресурсов.</w:t>
      </w:r>
    </w:p>
    <w:p>
      <w:pPr>
        <w:pStyle w:val="BodyText"/>
        <w:spacing w:lineRule="auto" w:line="240" w:before="0" w:after="0"/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Консервативный вариант Прогноза разработан на основе консервативных оценок темпов социально-экономического развития Ставропольского края и округа с учетом существенного ухудшения внешнеэкономических и иных условий.</w:t>
      </w:r>
    </w:p>
    <w:p>
      <w:pPr>
        <w:pStyle w:val="BodyText"/>
        <w:spacing w:lineRule="auto" w:line="240" w:before="0" w:after="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Целевой вариант Прогноза основан на достижении значений целевых показателей социально-экономического развития Ставропольского края и округа, обеспечивающих достижение целей и решение задач стратегического планирования Ставропольского края и округа. </w:t>
      </w:r>
    </w:p>
    <w:p>
      <w:pPr>
        <w:pStyle w:val="BodyText"/>
        <w:spacing w:lineRule="auto" w:line="240" w:before="0" w:after="0"/>
        <w:jc w:val="both"/>
        <w:rPr>
          <w:rFonts w:eastAsia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Прогнозируемые показатели  на 2025 - 2036 годы просчитаны с учётом изменения объёмов производства предприятий и организаций, на основании индексов - дефляторов по видам экономической деятельности и индексов цен, утверждённых Минэкономразвития России.</w:t>
      </w:r>
    </w:p>
    <w:p>
      <w:pPr>
        <w:pStyle w:val="BodyText"/>
        <w:spacing w:lineRule="auto" w:line="240" w:before="0" w:after="0"/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К 20</w:t>
      </w:r>
      <w:r>
        <w:rPr>
          <w:sz w:val="28"/>
          <w:szCs w:val="28"/>
          <w:shd w:fill="auto" w:val="clear"/>
        </w:rPr>
        <w:t>36 году прогнозируется снижение среднегодовой численности населения округа</w:t>
      </w:r>
      <w:r>
        <w:rPr>
          <w:spacing w:val="80"/>
          <w:sz w:val="28"/>
          <w:szCs w:val="28"/>
          <w:shd w:fill="auto" w:val="clear"/>
        </w:rPr>
        <w:t xml:space="preserve"> </w:t>
      </w:r>
      <w:r>
        <w:rPr>
          <w:sz w:val="28"/>
          <w:szCs w:val="28"/>
          <w:shd w:fill="auto" w:val="clear"/>
        </w:rPr>
        <w:t>до 20160 человек,</w:t>
      </w:r>
      <w:r>
        <w:rPr>
          <w:spacing w:val="79"/>
          <w:sz w:val="28"/>
          <w:szCs w:val="28"/>
          <w:shd w:fill="auto" w:val="clear"/>
        </w:rPr>
        <w:t xml:space="preserve"> </w:t>
      </w:r>
      <w:r>
        <w:rPr>
          <w:sz w:val="28"/>
          <w:szCs w:val="28"/>
          <w:shd w:fill="auto" w:val="clear"/>
        </w:rPr>
        <w:t>в</w:t>
      </w:r>
      <w:r>
        <w:rPr>
          <w:spacing w:val="-15"/>
          <w:sz w:val="28"/>
          <w:szCs w:val="28"/>
          <w:shd w:fill="auto" w:val="clear"/>
        </w:rPr>
        <w:t xml:space="preserve"> </w:t>
      </w:r>
      <w:r>
        <w:rPr>
          <w:sz w:val="28"/>
          <w:szCs w:val="28"/>
          <w:shd w:fill="auto" w:val="clear"/>
        </w:rPr>
        <w:t>результате естественной убыли и миграции населения</w:t>
      </w:r>
      <w:r>
        <w:rPr>
          <w:sz w:val="28"/>
          <w:szCs w:val="28"/>
        </w:rPr>
        <w:t xml:space="preserve">. </w:t>
      </w:r>
    </w:p>
    <w:p>
      <w:pPr>
        <w:pStyle w:val="BodyText"/>
        <w:spacing w:lineRule="auto" w:line="240" w:before="0" w:after="0"/>
        <w:jc w:val="both"/>
        <w:rPr/>
      </w:pPr>
      <w:r>
        <w:rPr>
          <w:sz w:val="28"/>
          <w:szCs w:val="28"/>
          <w:shd w:fill="auto" w:val="clear"/>
          <w:lang w:eastAsia="en-US"/>
        </w:rPr>
        <w:t>К 2036 году в</w:t>
      </w:r>
      <w:r>
        <w:rPr>
          <w:spacing w:val="-2"/>
          <w:sz w:val="28"/>
          <w:szCs w:val="28"/>
          <w:shd w:fill="auto" w:val="clear"/>
          <w:lang w:eastAsia="en-US"/>
        </w:rPr>
        <w:t xml:space="preserve"> округе </w:t>
      </w:r>
      <w:r>
        <w:rPr>
          <w:sz w:val="28"/>
          <w:szCs w:val="28"/>
          <w:shd w:fill="auto" w:val="clear"/>
          <w:lang w:eastAsia="en-US"/>
        </w:rPr>
        <w:t>по всем основным видам промышленной деятельности объем отгруженных товаров собственного производства, выполненных работ и услуг собственными силами в действующих ценах прогнозируется в сумме 213,0 млн. рублей, в</w:t>
      </w:r>
      <w:r>
        <w:rPr>
          <w:spacing w:val="-2"/>
          <w:sz w:val="28"/>
          <w:szCs w:val="28"/>
          <w:shd w:fill="auto" w:val="clear"/>
          <w:lang w:eastAsia="en-US"/>
        </w:rPr>
        <w:t xml:space="preserve"> </w:t>
      </w:r>
      <w:r>
        <w:rPr>
          <w:sz w:val="28"/>
          <w:szCs w:val="28"/>
          <w:shd w:fill="auto" w:val="clear"/>
          <w:lang w:eastAsia="en-US"/>
        </w:rPr>
        <w:t>том числе по видам эко- номической</w:t>
      </w:r>
      <w:r>
        <w:rPr>
          <w:spacing w:val="80"/>
          <w:sz w:val="28"/>
          <w:szCs w:val="28"/>
          <w:shd w:fill="auto" w:val="clear"/>
          <w:lang w:eastAsia="en-US"/>
        </w:rPr>
        <w:t xml:space="preserve"> </w:t>
      </w:r>
      <w:r>
        <w:rPr>
          <w:sz w:val="28"/>
          <w:szCs w:val="28"/>
          <w:shd w:fill="auto" w:val="clear"/>
          <w:lang w:eastAsia="en-US"/>
        </w:rPr>
        <w:t>деятельности:</w:t>
      </w:r>
      <w:r>
        <w:rPr>
          <w:spacing w:val="80"/>
          <w:sz w:val="28"/>
          <w:szCs w:val="28"/>
          <w:shd w:fill="auto" w:val="clear"/>
          <w:lang w:eastAsia="en-US"/>
        </w:rPr>
        <w:t xml:space="preserve"> </w:t>
      </w:r>
      <w:r>
        <w:rPr>
          <w:sz w:val="28"/>
          <w:szCs w:val="28"/>
          <w:shd w:fill="auto" w:val="clear"/>
          <w:lang w:eastAsia="en-US"/>
        </w:rPr>
        <w:t xml:space="preserve">обрабатывающие производства </w:t>
      </w:r>
      <w:r>
        <w:rPr>
          <w:w w:val="90"/>
          <w:sz w:val="28"/>
          <w:szCs w:val="28"/>
          <w:shd w:fill="auto" w:val="clear"/>
          <w:lang w:eastAsia="en-US"/>
        </w:rPr>
        <w:t>— 20,45 млн.</w:t>
      </w:r>
      <w:r>
        <w:rPr>
          <w:sz w:val="28"/>
          <w:szCs w:val="28"/>
          <w:shd w:fill="auto" w:val="clear"/>
          <w:lang w:eastAsia="en-US"/>
        </w:rPr>
        <w:t xml:space="preserve"> рублей; обеспечение электрической энергией, газом и паром, кондиционирование воздуха 232,2 млн. рублей. </w:t>
      </w:r>
    </w:p>
    <w:p>
      <w:pPr>
        <w:pStyle w:val="BodyText"/>
        <w:spacing w:lineRule="auto" w:line="240" w:before="0" w:after="0"/>
        <w:jc w:val="both"/>
        <w:rPr/>
      </w:pPr>
      <w:r>
        <w:rPr>
          <w:sz w:val="28"/>
          <w:szCs w:val="28"/>
        </w:rPr>
        <w:t>К 2036 году производство продукции сельског</w:t>
      </w:r>
      <w:r>
        <w:rPr>
          <w:sz w:val="28"/>
          <w:szCs w:val="28"/>
          <w:shd w:fill="auto" w:val="clear"/>
        </w:rPr>
        <w:t>о хозяйства во всех категориях</w:t>
      </w:r>
      <w:r>
        <w:rPr>
          <w:spacing w:val="40"/>
          <w:sz w:val="28"/>
          <w:szCs w:val="28"/>
          <w:shd w:fill="auto" w:val="clear"/>
        </w:rPr>
        <w:t xml:space="preserve">  </w:t>
      </w:r>
      <w:r>
        <w:rPr>
          <w:sz w:val="28"/>
          <w:szCs w:val="28"/>
          <w:shd w:fill="auto" w:val="clear"/>
        </w:rPr>
        <w:t>хозяйств округа</w:t>
      </w:r>
      <w:r>
        <w:rPr>
          <w:spacing w:val="40"/>
          <w:sz w:val="28"/>
          <w:szCs w:val="28"/>
          <w:shd w:fill="auto" w:val="clear"/>
        </w:rPr>
        <w:t xml:space="preserve">  </w:t>
      </w:r>
      <w:r>
        <w:rPr>
          <w:sz w:val="28"/>
          <w:szCs w:val="28"/>
          <w:shd w:fill="auto" w:val="clear"/>
        </w:rPr>
        <w:t>прогнозируется</w:t>
      </w:r>
      <w:r>
        <w:rPr>
          <w:spacing w:val="80"/>
          <w:w w:val="150"/>
          <w:sz w:val="28"/>
          <w:szCs w:val="28"/>
          <w:shd w:fill="auto" w:val="clear"/>
        </w:rPr>
        <w:t xml:space="preserve"> </w:t>
      </w:r>
      <w:r>
        <w:rPr>
          <w:sz w:val="28"/>
          <w:szCs w:val="28"/>
          <w:shd w:fill="auto" w:val="clear"/>
        </w:rPr>
        <w:t>в</w:t>
      </w:r>
      <w:r>
        <w:rPr>
          <w:spacing w:val="80"/>
          <w:w w:val="150"/>
          <w:sz w:val="28"/>
          <w:szCs w:val="28"/>
          <w:shd w:fill="auto" w:val="clear"/>
        </w:rPr>
        <w:t xml:space="preserve"> </w:t>
      </w:r>
      <w:r>
        <w:rPr>
          <w:sz w:val="28"/>
          <w:szCs w:val="28"/>
          <w:shd w:fill="auto" w:val="clear"/>
        </w:rPr>
        <w:t>сумме 8,3 млрд. рубле</w:t>
      </w:r>
      <w:r>
        <w:rPr>
          <w:sz w:val="28"/>
          <w:szCs w:val="28"/>
        </w:rPr>
        <w:t xml:space="preserve">й, </w:t>
      </w:r>
      <w:r>
        <w:rPr>
          <w:spacing w:val="-2"/>
          <w:sz w:val="28"/>
          <w:szCs w:val="28"/>
        </w:rPr>
        <w:t xml:space="preserve"> в том числе </w:t>
      </w:r>
      <w:r>
        <w:rPr>
          <w:sz w:val="28"/>
          <w:szCs w:val="28"/>
          <w:shd w:fill="auto" w:val="clear"/>
        </w:rPr>
        <w:t>производство продукции растениеводства округа прогнозируется в сумме 4,3 млрд. ру</w:t>
      </w:r>
      <w:r>
        <w:rPr>
          <w:sz w:val="28"/>
          <w:szCs w:val="28"/>
        </w:rPr>
        <w:t>б</w:t>
      </w:r>
      <w:r>
        <w:rPr>
          <w:sz w:val="28"/>
          <w:szCs w:val="28"/>
          <w:shd w:fill="auto" w:val="clear"/>
        </w:rPr>
        <w:t>лей, производство продукции животноводства округа</w:t>
      </w:r>
      <w:r>
        <w:rPr>
          <w:spacing w:val="80"/>
          <w:w w:val="150"/>
          <w:sz w:val="28"/>
          <w:szCs w:val="28"/>
          <w:shd w:fill="auto" w:val="clear"/>
        </w:rPr>
        <w:t xml:space="preserve"> </w:t>
      </w:r>
      <w:r>
        <w:rPr>
          <w:sz w:val="28"/>
          <w:szCs w:val="28"/>
          <w:shd w:fill="auto" w:val="clear"/>
        </w:rPr>
        <w:t>прогнозируется</w:t>
      </w:r>
      <w:r>
        <w:rPr>
          <w:spacing w:val="80"/>
          <w:w w:val="150"/>
          <w:sz w:val="28"/>
          <w:szCs w:val="28"/>
          <w:shd w:fill="auto" w:val="clear"/>
        </w:rPr>
        <w:t xml:space="preserve"> </w:t>
      </w:r>
      <w:r>
        <w:rPr>
          <w:sz w:val="28"/>
          <w:szCs w:val="28"/>
          <w:shd w:fill="auto" w:val="clear"/>
        </w:rPr>
        <w:t>в</w:t>
      </w:r>
      <w:r>
        <w:rPr>
          <w:spacing w:val="80"/>
          <w:w w:val="150"/>
          <w:sz w:val="28"/>
          <w:szCs w:val="28"/>
          <w:shd w:fill="auto" w:val="clear"/>
        </w:rPr>
        <w:t xml:space="preserve"> </w:t>
      </w:r>
      <w:r>
        <w:rPr>
          <w:sz w:val="28"/>
          <w:szCs w:val="28"/>
          <w:shd w:fill="auto" w:val="clear"/>
        </w:rPr>
        <w:t xml:space="preserve">сумме 4,1 млрд. рублей. </w:t>
      </w:r>
    </w:p>
    <w:p>
      <w:pPr>
        <w:pStyle w:val="BodyText"/>
        <w:spacing w:lineRule="auto" w:line="240" w:before="0" w:after="0"/>
        <w:jc w:val="both"/>
        <w:rPr>
          <w:highlight w:val="none"/>
          <w:shd w:fill="auto" w:val="clear"/>
        </w:rPr>
      </w:pPr>
      <w:r>
        <w:rPr>
          <w:sz w:val="28"/>
          <w:szCs w:val="28"/>
          <w:shd w:fill="auto" w:val="clear"/>
        </w:rPr>
        <w:t xml:space="preserve">К 2036 году ожидается объем ввода в действие жилых домов в размере 3225 кв. метров. </w:t>
      </w:r>
    </w:p>
    <w:p>
      <w:pPr>
        <w:pStyle w:val="BodyText"/>
        <w:spacing w:lineRule="auto" w:line="240" w:before="0" w:after="0"/>
        <w:jc w:val="both"/>
        <w:rPr>
          <w:highlight w:val="none"/>
          <w:shd w:fill="auto" w:val="clear"/>
        </w:rPr>
      </w:pPr>
      <w:r>
        <w:rPr>
          <w:sz w:val="29"/>
          <w:szCs w:val="28"/>
          <w:shd w:fill="auto" w:val="clear"/>
        </w:rPr>
        <w:t>К 2036 году в сравнении с 2024 годом</w:t>
      </w:r>
      <w:r>
        <w:rPr>
          <w:spacing w:val="-10"/>
          <w:sz w:val="29"/>
          <w:szCs w:val="28"/>
          <w:shd w:fill="auto" w:val="clear"/>
        </w:rPr>
        <w:t xml:space="preserve"> </w:t>
      </w:r>
      <w:r>
        <w:rPr>
          <w:spacing w:val="-2"/>
          <w:sz w:val="29"/>
          <w:szCs w:val="28"/>
          <w:shd w:fill="auto" w:val="clear"/>
        </w:rPr>
        <w:t>ожидается рост</w:t>
      </w:r>
      <w:r>
        <w:rPr>
          <w:spacing w:val="-11"/>
          <w:sz w:val="29"/>
          <w:szCs w:val="28"/>
          <w:shd w:fill="auto" w:val="clear"/>
        </w:rPr>
        <w:t xml:space="preserve"> </w:t>
      </w:r>
      <w:r>
        <w:rPr>
          <w:spacing w:val="-2"/>
          <w:sz w:val="29"/>
          <w:szCs w:val="28"/>
          <w:shd w:fill="auto" w:val="clear"/>
        </w:rPr>
        <w:t>оборота розничной</w:t>
      </w:r>
      <w:r>
        <w:rPr>
          <w:spacing w:val="-17"/>
          <w:sz w:val="29"/>
          <w:szCs w:val="28"/>
          <w:shd w:fill="auto" w:val="clear"/>
        </w:rPr>
        <w:t xml:space="preserve"> </w:t>
      </w:r>
      <w:r>
        <w:rPr>
          <w:spacing w:val="-2"/>
          <w:sz w:val="29"/>
          <w:szCs w:val="28"/>
          <w:shd w:fill="auto" w:val="clear"/>
        </w:rPr>
        <w:t>торговли</w:t>
      </w:r>
      <w:r>
        <w:rPr>
          <w:spacing w:val="-16"/>
          <w:sz w:val="29"/>
          <w:szCs w:val="28"/>
          <w:shd w:fill="auto" w:val="clear"/>
        </w:rPr>
        <w:t xml:space="preserve"> </w:t>
      </w:r>
      <w:r>
        <w:rPr>
          <w:spacing w:val="-2"/>
          <w:sz w:val="29"/>
          <w:szCs w:val="28"/>
          <w:shd w:fill="auto" w:val="clear"/>
        </w:rPr>
        <w:t>в</w:t>
      </w:r>
      <w:r>
        <w:rPr>
          <w:spacing w:val="-16"/>
          <w:sz w:val="29"/>
          <w:szCs w:val="28"/>
          <w:shd w:fill="auto" w:val="clear"/>
        </w:rPr>
        <w:t xml:space="preserve"> </w:t>
      </w:r>
      <w:r>
        <w:rPr>
          <w:spacing w:val="-2"/>
          <w:sz w:val="29"/>
          <w:szCs w:val="28"/>
          <w:shd w:fill="auto" w:val="clear"/>
        </w:rPr>
        <w:t>сопоставимых</w:t>
      </w:r>
      <w:r>
        <w:rPr>
          <w:spacing w:val="-16"/>
          <w:sz w:val="29"/>
          <w:szCs w:val="28"/>
          <w:shd w:fill="auto" w:val="clear"/>
        </w:rPr>
        <w:t xml:space="preserve"> </w:t>
      </w:r>
      <w:r>
        <w:rPr>
          <w:spacing w:val="-2"/>
          <w:sz w:val="29"/>
          <w:szCs w:val="28"/>
          <w:shd w:fill="auto" w:val="clear"/>
        </w:rPr>
        <w:t>ценах</w:t>
      </w:r>
      <w:r>
        <w:rPr>
          <w:spacing w:val="-16"/>
          <w:sz w:val="29"/>
          <w:szCs w:val="28"/>
          <w:shd w:fill="auto" w:val="clear"/>
        </w:rPr>
        <w:t xml:space="preserve"> </w:t>
      </w:r>
      <w:r>
        <w:rPr>
          <w:spacing w:val="-2"/>
          <w:sz w:val="29"/>
          <w:szCs w:val="28"/>
          <w:shd w:fill="auto" w:val="clear"/>
        </w:rPr>
        <w:t>в</w:t>
      </w:r>
      <w:r>
        <w:rPr>
          <w:spacing w:val="-16"/>
          <w:sz w:val="29"/>
          <w:szCs w:val="28"/>
          <w:shd w:fill="auto" w:val="clear"/>
        </w:rPr>
        <w:t xml:space="preserve"> 1,5 </w:t>
      </w:r>
      <w:r>
        <w:rPr>
          <w:spacing w:val="-2"/>
          <w:sz w:val="29"/>
          <w:szCs w:val="28"/>
          <w:shd w:fill="auto" w:val="clear"/>
        </w:rPr>
        <w:t>раза,</w:t>
      </w:r>
      <w:r>
        <w:rPr>
          <w:spacing w:val="-16"/>
          <w:sz w:val="29"/>
          <w:szCs w:val="28"/>
          <w:shd w:fill="auto" w:val="clear"/>
        </w:rPr>
        <w:t xml:space="preserve"> </w:t>
      </w:r>
      <w:r>
        <w:rPr>
          <w:spacing w:val="-2"/>
          <w:sz w:val="29"/>
          <w:szCs w:val="28"/>
          <w:shd w:fill="auto" w:val="clear"/>
        </w:rPr>
        <w:t>оборот</w:t>
      </w:r>
      <w:r>
        <w:rPr>
          <w:spacing w:val="-17"/>
          <w:sz w:val="29"/>
          <w:szCs w:val="28"/>
          <w:shd w:fill="auto" w:val="clear"/>
        </w:rPr>
        <w:t xml:space="preserve"> </w:t>
      </w:r>
      <w:r>
        <w:rPr>
          <w:spacing w:val="-2"/>
          <w:sz w:val="29"/>
          <w:szCs w:val="28"/>
          <w:shd w:fill="auto" w:val="clear"/>
        </w:rPr>
        <w:t>розничной</w:t>
      </w:r>
      <w:r>
        <w:rPr>
          <w:spacing w:val="-15"/>
          <w:sz w:val="29"/>
          <w:szCs w:val="28"/>
          <w:shd w:fill="auto" w:val="clear"/>
        </w:rPr>
        <w:t xml:space="preserve"> </w:t>
      </w:r>
      <w:r>
        <w:rPr>
          <w:spacing w:val="-2"/>
          <w:sz w:val="29"/>
          <w:szCs w:val="28"/>
          <w:shd w:fill="auto" w:val="clear"/>
        </w:rPr>
        <w:t>тор</w:t>
      </w:r>
      <w:r>
        <w:rPr>
          <w:sz w:val="29"/>
          <w:szCs w:val="28"/>
          <w:shd w:fill="auto" w:val="clear"/>
        </w:rPr>
        <w:t>говли</w:t>
      </w:r>
      <w:r>
        <w:rPr>
          <w:spacing w:val="-18"/>
          <w:sz w:val="29"/>
          <w:szCs w:val="28"/>
          <w:shd w:fill="auto" w:val="clear"/>
        </w:rPr>
        <w:t xml:space="preserve"> </w:t>
      </w:r>
      <w:r>
        <w:rPr>
          <w:spacing w:val="-16"/>
          <w:sz w:val="29"/>
          <w:szCs w:val="28"/>
          <w:shd w:fill="auto" w:val="clear"/>
        </w:rPr>
        <w:t xml:space="preserve"> </w:t>
      </w:r>
      <w:r>
        <w:rPr>
          <w:sz w:val="29"/>
          <w:szCs w:val="28"/>
          <w:shd w:fill="auto" w:val="clear"/>
        </w:rPr>
        <w:t>составит</w:t>
      </w:r>
      <w:r>
        <w:rPr>
          <w:spacing w:val="-14"/>
          <w:sz w:val="29"/>
          <w:szCs w:val="28"/>
          <w:shd w:fill="auto" w:val="clear"/>
        </w:rPr>
        <w:t xml:space="preserve"> 634,7 млн.</w:t>
      </w:r>
      <w:r>
        <w:rPr>
          <w:spacing w:val="-17"/>
          <w:sz w:val="29"/>
          <w:szCs w:val="28"/>
          <w:shd w:fill="auto" w:val="clear"/>
        </w:rPr>
        <w:t xml:space="preserve"> </w:t>
      </w:r>
      <w:r>
        <w:rPr>
          <w:sz w:val="29"/>
          <w:szCs w:val="28"/>
          <w:shd w:fill="auto" w:val="clear"/>
        </w:rPr>
        <w:t xml:space="preserve">рублей. </w:t>
      </w:r>
    </w:p>
    <w:p>
      <w:pPr>
        <w:pStyle w:val="BodyText"/>
        <w:spacing w:lineRule="auto" w:line="240" w:before="0" w:after="0"/>
        <w:jc w:val="both"/>
        <w:rPr/>
      </w:pPr>
      <w:r>
        <w:rPr>
          <w:rFonts w:eastAsia="Calibri"/>
          <w:color w:themeColor="text1" w:val="000000"/>
          <w:spacing w:val="-19"/>
          <w:sz w:val="29"/>
          <w:szCs w:val="28"/>
          <w:shd w:fill="auto" w:val="clear"/>
          <w:lang w:eastAsia="en-US"/>
        </w:rPr>
        <w:t xml:space="preserve">К </w:t>
      </w:r>
      <w:r>
        <w:rPr>
          <w:rFonts w:eastAsia="Calibri"/>
          <w:color w:themeColor="text1" w:val="000000"/>
          <w:sz w:val="29"/>
          <w:szCs w:val="28"/>
          <w:shd w:fill="auto" w:val="clear"/>
          <w:lang w:eastAsia="en-US"/>
        </w:rPr>
        <w:t>2036</w:t>
      </w:r>
      <w:r>
        <w:rPr>
          <w:rFonts w:eastAsia="Calibri"/>
          <w:color w:themeColor="text1" w:val="000000"/>
          <w:spacing w:val="-18"/>
          <w:sz w:val="29"/>
          <w:szCs w:val="28"/>
          <w:shd w:fill="auto" w:val="clear"/>
          <w:lang w:eastAsia="en-US"/>
        </w:rPr>
        <w:t xml:space="preserve"> </w:t>
      </w:r>
      <w:r>
        <w:rPr>
          <w:rFonts w:eastAsia="Calibri"/>
          <w:color w:themeColor="text1" w:val="000000"/>
          <w:sz w:val="29"/>
          <w:szCs w:val="28"/>
          <w:shd w:fill="auto" w:val="clear"/>
          <w:lang w:eastAsia="en-US"/>
        </w:rPr>
        <w:t>году</w:t>
      </w:r>
      <w:r>
        <w:rPr>
          <w:rFonts w:eastAsia="Calibri"/>
          <w:color w:themeColor="text1" w:val="000000"/>
          <w:spacing w:val="-18"/>
          <w:sz w:val="29"/>
          <w:szCs w:val="28"/>
          <w:shd w:fill="auto" w:val="clear"/>
          <w:lang w:eastAsia="en-US"/>
        </w:rPr>
        <w:t xml:space="preserve"> количество</w:t>
      </w:r>
      <w:r>
        <w:rPr>
          <w:rFonts w:eastAsia="Calibri"/>
          <w:color w:themeColor="text1" w:val="000000"/>
          <w:spacing w:val="-13"/>
          <w:sz w:val="29"/>
          <w:szCs w:val="28"/>
          <w:shd w:fill="auto" w:val="clear"/>
          <w:lang w:eastAsia="en-US"/>
        </w:rPr>
        <w:t xml:space="preserve"> </w:t>
      </w:r>
      <w:r>
        <w:rPr>
          <w:rFonts w:eastAsia="Calibri"/>
          <w:color w:themeColor="text1" w:val="000000"/>
          <w:sz w:val="29"/>
          <w:szCs w:val="28"/>
          <w:shd w:fill="auto" w:val="clear"/>
          <w:lang w:eastAsia="en-US"/>
        </w:rPr>
        <w:t>малых</w:t>
      </w:r>
      <w:r>
        <w:rPr>
          <w:rFonts w:eastAsia="Calibri"/>
          <w:color w:themeColor="text1" w:val="000000"/>
          <w:spacing w:val="-11"/>
          <w:sz w:val="29"/>
          <w:szCs w:val="28"/>
          <w:shd w:fill="auto" w:val="clear"/>
          <w:lang w:eastAsia="en-US"/>
        </w:rPr>
        <w:t xml:space="preserve"> </w:t>
      </w:r>
      <w:r>
        <w:rPr>
          <w:rFonts w:eastAsia="Calibri"/>
          <w:color w:themeColor="text1" w:val="000000"/>
          <w:sz w:val="29"/>
          <w:szCs w:val="28"/>
          <w:shd w:fill="auto" w:val="clear"/>
          <w:lang w:eastAsia="en-US"/>
        </w:rPr>
        <w:t>и</w:t>
      </w:r>
      <w:r>
        <w:rPr>
          <w:rFonts w:eastAsia="Calibri"/>
          <w:color w:themeColor="text1" w:val="000000"/>
          <w:spacing w:val="-19"/>
          <w:sz w:val="29"/>
          <w:szCs w:val="28"/>
          <w:shd w:fill="auto" w:val="clear"/>
          <w:lang w:eastAsia="en-US"/>
        </w:rPr>
        <w:t xml:space="preserve"> </w:t>
      </w:r>
      <w:r>
        <w:rPr>
          <w:rFonts w:eastAsia="Calibri"/>
          <w:color w:themeColor="text1" w:val="000000"/>
          <w:sz w:val="29"/>
          <w:szCs w:val="28"/>
          <w:shd w:fill="auto" w:val="clear"/>
          <w:lang w:eastAsia="en-US"/>
        </w:rPr>
        <w:t>средних предприятий в округе</w:t>
      </w:r>
      <w:r>
        <w:rPr>
          <w:rFonts w:eastAsia="Calibri"/>
          <w:color w:themeColor="text1" w:val="000000"/>
          <w:spacing w:val="-1"/>
          <w:sz w:val="29"/>
          <w:szCs w:val="28"/>
          <w:shd w:fill="auto" w:val="clear"/>
          <w:lang w:eastAsia="en-US"/>
        </w:rPr>
        <w:t xml:space="preserve"> </w:t>
      </w:r>
      <w:r>
        <w:rPr>
          <w:rFonts w:eastAsia="Calibri"/>
          <w:color w:themeColor="text1" w:val="000000"/>
          <w:sz w:val="29"/>
          <w:szCs w:val="28"/>
          <w:shd w:fill="auto" w:val="clear"/>
          <w:lang w:eastAsia="en-US"/>
        </w:rPr>
        <w:t>составит 16</w:t>
      </w:r>
      <w:r>
        <w:rPr>
          <w:rFonts w:eastAsia="Calibri"/>
          <w:color w:themeColor="text1" w:val="000000"/>
          <w:spacing w:val="-2"/>
          <w:sz w:val="29"/>
          <w:szCs w:val="28"/>
          <w:shd w:fill="auto" w:val="clear"/>
          <w:lang w:eastAsia="en-US"/>
        </w:rPr>
        <w:t xml:space="preserve"> единиц</w:t>
      </w:r>
      <w:r>
        <w:rPr>
          <w:rFonts w:eastAsia="Calibri"/>
          <w:color w:themeColor="text1" w:val="000000"/>
          <w:sz w:val="29"/>
          <w:szCs w:val="28"/>
          <w:shd w:fill="auto" w:val="clear"/>
          <w:lang w:eastAsia="en-US"/>
        </w:rPr>
        <w:t>. Среднесписочная численность работников на предприятиях малого и среднего предпринимательства (включая микропредприятия) (без внешних совместителей) составит 415 человек.</w:t>
      </w:r>
    </w:p>
    <w:p>
      <w:pPr>
        <w:pStyle w:val="BodyText"/>
        <w:spacing w:lineRule="auto" w:line="240" w:before="0" w:after="0"/>
        <w:jc w:val="both"/>
        <w:rPr/>
      </w:pPr>
      <w:r>
        <w:rPr>
          <w:sz w:val="29"/>
        </w:rPr>
        <w:t>Объем</w:t>
      </w:r>
      <w:r>
        <w:rPr>
          <w:spacing w:val="22"/>
          <w:sz w:val="29"/>
        </w:rPr>
        <w:t xml:space="preserve">  </w:t>
      </w:r>
      <w:r>
        <w:rPr>
          <w:sz w:val="29"/>
        </w:rPr>
        <w:t>инвести</w:t>
      </w:r>
      <w:r>
        <w:rPr>
          <w:sz w:val="29"/>
          <w:shd w:fill="auto" w:val="clear"/>
        </w:rPr>
        <w:t>ций</w:t>
      </w:r>
      <w:r>
        <w:rPr>
          <w:spacing w:val="27"/>
          <w:sz w:val="29"/>
          <w:shd w:fill="auto" w:val="clear"/>
        </w:rPr>
        <w:t xml:space="preserve">  </w:t>
      </w:r>
      <w:r>
        <w:rPr>
          <w:sz w:val="29"/>
          <w:shd w:fill="auto" w:val="clear"/>
        </w:rPr>
        <w:t>в</w:t>
      </w:r>
      <w:r>
        <w:rPr>
          <w:spacing w:val="66"/>
          <w:w w:val="150"/>
          <w:sz w:val="29"/>
          <w:shd w:fill="auto" w:val="clear"/>
        </w:rPr>
        <w:t xml:space="preserve"> </w:t>
      </w:r>
      <w:r>
        <w:rPr>
          <w:sz w:val="29"/>
          <w:shd w:fill="auto" w:val="clear"/>
        </w:rPr>
        <w:t>основной</w:t>
      </w:r>
      <w:r>
        <w:rPr>
          <w:spacing w:val="26"/>
          <w:sz w:val="29"/>
          <w:shd w:fill="auto" w:val="clear"/>
        </w:rPr>
        <w:t xml:space="preserve">  </w:t>
      </w:r>
      <w:r>
        <w:rPr>
          <w:sz w:val="29"/>
          <w:shd w:fill="auto" w:val="clear"/>
        </w:rPr>
        <w:t>капитал</w:t>
      </w:r>
      <w:r>
        <w:rPr>
          <w:spacing w:val="22"/>
          <w:sz w:val="29"/>
          <w:shd w:fill="auto" w:val="clear"/>
        </w:rPr>
        <w:t xml:space="preserve"> </w:t>
      </w:r>
      <w:r>
        <w:rPr>
          <w:sz w:val="29"/>
          <w:shd w:fill="auto" w:val="clear"/>
        </w:rPr>
        <w:t>в округе к</w:t>
      </w:r>
      <w:r>
        <w:rPr>
          <w:spacing w:val="-19"/>
          <w:sz w:val="29"/>
          <w:shd w:fill="auto" w:val="clear"/>
        </w:rPr>
        <w:t xml:space="preserve"> </w:t>
      </w:r>
      <w:r>
        <w:rPr>
          <w:sz w:val="29"/>
          <w:shd w:fill="auto" w:val="clear"/>
        </w:rPr>
        <w:t>2036</w:t>
      </w:r>
      <w:r>
        <w:rPr>
          <w:spacing w:val="-18"/>
          <w:sz w:val="29"/>
          <w:shd w:fill="auto" w:val="clear"/>
        </w:rPr>
        <w:t xml:space="preserve"> </w:t>
      </w:r>
      <w:r>
        <w:rPr>
          <w:sz w:val="29"/>
          <w:shd w:fill="auto" w:val="clear"/>
        </w:rPr>
        <w:t>году прогнозируется на</w:t>
      </w:r>
      <w:r>
        <w:rPr>
          <w:spacing w:val="-19"/>
          <w:sz w:val="29"/>
          <w:shd w:fill="auto" w:val="clear"/>
        </w:rPr>
        <w:t xml:space="preserve"> </w:t>
      </w:r>
      <w:r>
        <w:rPr>
          <w:sz w:val="29"/>
          <w:shd w:fill="auto" w:val="clear"/>
        </w:rPr>
        <w:t xml:space="preserve">уровне 879,2 млн. рублей. </w:t>
      </w:r>
    </w:p>
    <w:p>
      <w:pPr>
        <w:pStyle w:val="Normal"/>
        <w:widowControl/>
        <w:bidi w:val="0"/>
        <w:spacing w:lineRule="auto" w:line="240" w:before="0" w:after="0"/>
        <w:ind w:hanging="0" w:left="0" w:right="0"/>
        <w:jc w:val="both"/>
        <w:rPr/>
      </w:pPr>
      <w:r>
        <w:rPr>
          <w:sz w:val="28"/>
          <w:szCs w:val="28"/>
        </w:rPr>
        <w:tab/>
        <w:t>К 2036 году о</w:t>
      </w:r>
      <w:r>
        <w:rPr>
          <w:color w:val="000000"/>
          <w:sz w:val="28"/>
          <w:szCs w:val="28"/>
        </w:rPr>
        <w:t>бщая сумма доходов консолидированного бюджета по соста</w:t>
      </w:r>
      <w:r>
        <w:rPr>
          <w:color w:val="000000"/>
          <w:sz w:val="28"/>
          <w:szCs w:val="28"/>
          <w:shd w:fill="auto" w:val="clear"/>
        </w:rPr>
        <w:t>вит 1293,75 млн. рублей, расходная часть бюджета округа планируется в сумме 1293,75 млн. рубл</w:t>
      </w:r>
      <w:r>
        <w:rPr>
          <w:color w:val="000000"/>
          <w:sz w:val="28"/>
          <w:szCs w:val="28"/>
        </w:rPr>
        <w:t xml:space="preserve">ей. </w:t>
      </w:r>
    </w:p>
    <w:p>
      <w:pPr>
        <w:pStyle w:val="Normal"/>
        <w:widowControl/>
        <w:bidi w:val="0"/>
        <w:spacing w:lineRule="auto" w:line="240" w:before="0" w:after="0"/>
        <w:ind w:hanging="0" w:left="0" w:right="0"/>
        <w:jc w:val="both"/>
        <w:rPr/>
      </w:pPr>
      <w:r>
        <w:rPr>
          <w:color w:val="000000"/>
          <w:sz w:val="28"/>
          <w:szCs w:val="28"/>
        </w:rPr>
        <w:tab/>
        <w:t>К</w:t>
      </w:r>
      <w:r>
        <w:rPr>
          <w:color w:val="000000"/>
          <w:sz w:val="28"/>
          <w:szCs w:val="28"/>
          <w:shd w:fill="auto" w:val="clear"/>
        </w:rPr>
        <w:t xml:space="preserve"> 2036 году в округе о</w:t>
      </w:r>
      <w:r>
        <w:rPr>
          <w:color w:themeColor="text1" w:val="000000"/>
          <w:sz w:val="28"/>
          <w:szCs w:val="28"/>
          <w:shd w:fill="auto" w:val="clear"/>
        </w:rPr>
        <w:t>бщая численность трудовых ресурсов составит 13,834 тыс. челове</w:t>
      </w:r>
      <w:r>
        <w:rPr>
          <w:color w:themeColor="text1" w:val="000000"/>
          <w:sz w:val="28"/>
          <w:szCs w:val="28"/>
        </w:rPr>
        <w:t>к.</w:t>
      </w:r>
    </w:p>
    <w:p>
      <w:pPr>
        <w:pStyle w:val="Normal"/>
        <w:widowControl/>
        <w:bidi w:val="0"/>
        <w:spacing w:lineRule="auto" w:line="240" w:before="0" w:after="0"/>
        <w:ind w:hanging="0" w:left="0" w:right="0"/>
        <w:jc w:val="both"/>
        <w:rPr/>
      </w:pPr>
      <w:r>
        <w:rPr>
          <w:color w:themeColor="text1"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В 2026-2036 годах прогнозируется дальнейшее повышение уровня и качества жизни населения округа. Увеличение доходов населения в прогнозируемом периоде будет связано с увеличением оплаты труда работающих на предприятиях округа, а также с учетом осуществления мер по повышению оплаты труда работников бюджетной сферы. </w:t>
      </w:r>
    </w:p>
    <w:p>
      <w:pPr>
        <w:pStyle w:val="Normal"/>
        <w:widowControl/>
        <w:bidi w:val="0"/>
        <w:spacing w:lineRule="auto" w:line="240" w:before="0" w:after="0"/>
        <w:ind w:hanging="0" w:left="0" w:right="0"/>
        <w:jc w:val="both"/>
        <w:rPr>
          <w:highlight w:val="none"/>
          <w:shd w:fill="auto" w:val="clear"/>
        </w:rPr>
      </w:pPr>
      <w:r>
        <w:rPr>
          <w:rFonts w:eastAsia="Calibri"/>
          <w:color w:val="000000"/>
          <w:sz w:val="28"/>
          <w:szCs w:val="28"/>
          <w:lang w:eastAsia="en-US"/>
        </w:rPr>
        <w:tab/>
        <w:t>К</w:t>
      </w:r>
      <w:r>
        <w:rPr>
          <w:rFonts w:eastAsia="Calibri"/>
          <w:color w:themeColor="text1" w:val="000000"/>
          <w:sz w:val="28"/>
          <w:szCs w:val="28"/>
          <w:lang w:eastAsia="en-US"/>
        </w:rPr>
        <w:t xml:space="preserve"> 2036 году ожидается увеличение среднемесячной</w:t>
      </w:r>
      <w:r>
        <w:rPr>
          <w:rFonts w:eastAsia="Calibri"/>
          <w:color w:themeColor="text1" w:val="000000"/>
          <w:spacing w:val="-5"/>
          <w:sz w:val="28"/>
          <w:szCs w:val="28"/>
          <w:shd w:fill="auto" w:val="clear"/>
          <w:lang w:eastAsia="en-US"/>
        </w:rPr>
        <w:t xml:space="preserve"> </w:t>
      </w:r>
      <w:r>
        <w:rPr>
          <w:rFonts w:eastAsia="Calibri"/>
          <w:color w:themeColor="text1" w:val="000000"/>
          <w:sz w:val="28"/>
          <w:szCs w:val="28"/>
          <w:shd w:fill="auto" w:val="clear"/>
          <w:lang w:eastAsia="en-US"/>
        </w:rPr>
        <w:t>номинальной начисленной заработной платы работников организаций округа до</w:t>
      </w:r>
      <w:r>
        <w:rPr>
          <w:rFonts w:eastAsia="Calibri"/>
          <w:color w:themeColor="text1" w:val="000000"/>
          <w:spacing w:val="-7"/>
          <w:sz w:val="28"/>
          <w:szCs w:val="28"/>
          <w:shd w:fill="auto" w:val="clear"/>
          <w:lang w:eastAsia="en-US"/>
        </w:rPr>
        <w:t xml:space="preserve"> 87 866,6 </w:t>
      </w:r>
      <w:r>
        <w:rPr>
          <w:rFonts w:eastAsia="Calibri"/>
          <w:color w:themeColor="text1" w:val="000000"/>
          <w:sz w:val="28"/>
          <w:szCs w:val="28"/>
          <w:shd w:fill="auto" w:val="clear"/>
          <w:lang w:eastAsia="en-US"/>
        </w:rPr>
        <w:t>рублей,</w:t>
      </w:r>
      <w:r>
        <w:rPr>
          <w:rFonts w:eastAsia="Calibri"/>
          <w:color w:themeColor="text1" w:val="000000"/>
          <w:spacing w:val="40"/>
          <w:sz w:val="28"/>
          <w:szCs w:val="28"/>
          <w:shd w:fill="auto" w:val="clear"/>
          <w:lang w:eastAsia="en-US"/>
        </w:rPr>
        <w:t xml:space="preserve"> </w:t>
      </w:r>
      <w:r>
        <w:rPr>
          <w:rFonts w:eastAsia="Calibri"/>
          <w:color w:themeColor="text1" w:val="000000"/>
          <w:sz w:val="28"/>
          <w:szCs w:val="28"/>
          <w:shd w:fill="auto" w:val="clear"/>
          <w:lang w:eastAsia="en-US"/>
        </w:rPr>
        <w:t>при</w:t>
      </w:r>
      <w:r>
        <w:rPr>
          <w:rFonts w:eastAsia="Calibri"/>
          <w:color w:themeColor="text1" w:val="000000"/>
          <w:spacing w:val="40"/>
          <w:sz w:val="28"/>
          <w:szCs w:val="28"/>
          <w:shd w:fill="auto" w:val="clear"/>
          <w:lang w:eastAsia="en-US"/>
        </w:rPr>
        <w:t xml:space="preserve"> </w:t>
      </w:r>
      <w:r>
        <w:rPr>
          <w:rFonts w:eastAsia="Calibri"/>
          <w:color w:themeColor="text1" w:val="000000"/>
          <w:sz w:val="28"/>
          <w:szCs w:val="28"/>
          <w:shd w:fill="auto" w:val="clear"/>
          <w:lang w:eastAsia="en-US"/>
        </w:rPr>
        <w:t>среднегодовой</w:t>
      </w:r>
      <w:r>
        <w:rPr>
          <w:rFonts w:eastAsia="Calibri"/>
          <w:color w:themeColor="text1" w:val="000000"/>
          <w:spacing w:val="40"/>
          <w:sz w:val="28"/>
          <w:szCs w:val="28"/>
          <w:shd w:fill="auto" w:val="clear"/>
          <w:lang w:eastAsia="en-US"/>
        </w:rPr>
        <w:t xml:space="preserve"> </w:t>
      </w:r>
      <w:r>
        <w:rPr>
          <w:rFonts w:eastAsia="Calibri"/>
          <w:color w:themeColor="text1" w:val="000000"/>
          <w:sz w:val="28"/>
          <w:szCs w:val="28"/>
          <w:shd w:fill="auto" w:val="clear"/>
          <w:lang w:eastAsia="en-US"/>
        </w:rPr>
        <w:t>численности</w:t>
      </w:r>
      <w:r>
        <w:rPr>
          <w:rFonts w:eastAsia="Calibri"/>
          <w:color w:themeColor="text1" w:val="000000"/>
          <w:spacing w:val="40"/>
          <w:sz w:val="28"/>
          <w:szCs w:val="28"/>
          <w:shd w:fill="auto" w:val="clear"/>
          <w:lang w:eastAsia="en-US"/>
        </w:rPr>
        <w:t xml:space="preserve"> </w:t>
      </w:r>
      <w:r>
        <w:rPr>
          <w:rFonts w:eastAsia="Calibri"/>
          <w:color w:themeColor="text1" w:val="000000"/>
          <w:sz w:val="28"/>
          <w:szCs w:val="28"/>
          <w:shd w:fill="auto" w:val="clear"/>
          <w:lang w:eastAsia="en-US"/>
        </w:rPr>
        <w:t>занятых в</w:t>
      </w:r>
      <w:r>
        <w:rPr>
          <w:rFonts w:eastAsia="Calibri"/>
          <w:color w:themeColor="text1" w:val="000000"/>
          <w:spacing w:val="-1"/>
          <w:sz w:val="28"/>
          <w:szCs w:val="28"/>
          <w:shd w:fill="auto" w:val="clear"/>
          <w:lang w:eastAsia="en-US"/>
        </w:rPr>
        <w:t xml:space="preserve"> </w:t>
      </w:r>
      <w:r>
        <w:rPr>
          <w:rFonts w:eastAsia="Calibri"/>
          <w:color w:themeColor="text1" w:val="000000"/>
          <w:sz w:val="28"/>
          <w:szCs w:val="28"/>
          <w:shd w:fill="auto" w:val="clear"/>
          <w:lang w:eastAsia="en-US"/>
        </w:rPr>
        <w:t>экономике до 6,39 тыс. человек в 2036 году.</w:t>
      </w:r>
    </w:p>
    <w:p>
      <w:pPr>
        <w:pStyle w:val="Normal"/>
        <w:widowControl/>
        <w:bidi w:val="0"/>
        <w:spacing w:lineRule="auto" w:line="240" w:before="0" w:after="0"/>
        <w:ind w:hanging="0" w:left="0" w:right="0"/>
        <w:jc w:val="both"/>
        <w:rPr>
          <w:highlight w:val="none"/>
          <w:shd w:fill="auto" w:val="clear"/>
        </w:rPr>
      </w:pPr>
      <w:r>
        <w:rPr>
          <w:rFonts w:eastAsia="Calibri"/>
          <w:color w:themeColor="text1" w:val="000000"/>
          <w:sz w:val="28"/>
          <w:szCs w:val="28"/>
          <w:shd w:fill="auto" w:val="clear"/>
          <w:lang w:eastAsia="en-US"/>
        </w:rPr>
        <w:tab/>
      </w:r>
      <w:r>
        <w:rPr>
          <w:spacing w:val="-4"/>
          <w:sz w:val="28"/>
          <w:szCs w:val="28"/>
          <w:shd w:fill="auto" w:val="clear"/>
        </w:rPr>
        <w:t>Достижение</w:t>
      </w:r>
      <w:r>
        <w:rPr>
          <w:spacing w:val="-15"/>
          <w:sz w:val="28"/>
          <w:szCs w:val="28"/>
          <w:shd w:fill="auto" w:val="clear"/>
        </w:rPr>
        <w:t xml:space="preserve"> </w:t>
      </w:r>
      <w:r>
        <w:rPr>
          <w:spacing w:val="-4"/>
          <w:sz w:val="28"/>
          <w:szCs w:val="28"/>
          <w:shd w:fill="auto" w:val="clear"/>
        </w:rPr>
        <w:t>значений</w:t>
      </w:r>
      <w:r>
        <w:rPr>
          <w:spacing w:val="-14"/>
          <w:sz w:val="28"/>
          <w:szCs w:val="28"/>
          <w:shd w:fill="auto" w:val="clear"/>
        </w:rPr>
        <w:t xml:space="preserve"> </w:t>
      </w:r>
      <w:r>
        <w:rPr>
          <w:spacing w:val="-4"/>
          <w:sz w:val="28"/>
          <w:szCs w:val="28"/>
          <w:shd w:fill="auto" w:val="clear"/>
        </w:rPr>
        <w:t>целевых</w:t>
      </w:r>
      <w:r>
        <w:rPr>
          <w:spacing w:val="-14"/>
          <w:sz w:val="28"/>
          <w:szCs w:val="28"/>
          <w:shd w:fill="auto" w:val="clear"/>
        </w:rPr>
        <w:t xml:space="preserve"> </w:t>
      </w:r>
      <w:r>
        <w:rPr>
          <w:spacing w:val="-4"/>
          <w:sz w:val="28"/>
          <w:szCs w:val="28"/>
          <w:shd w:fill="auto" w:val="clear"/>
        </w:rPr>
        <w:t>показате</w:t>
      </w:r>
      <w:r>
        <w:rPr>
          <w:spacing w:val="-4"/>
          <w:sz w:val="28"/>
          <w:szCs w:val="28"/>
        </w:rPr>
        <w:t>лей</w:t>
      </w:r>
      <w:r>
        <w:rPr>
          <w:spacing w:val="-1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социально-экономического </w:t>
      </w:r>
      <w:r>
        <w:rPr>
          <w:sz w:val="28"/>
          <w:szCs w:val="28"/>
        </w:rPr>
        <w:t xml:space="preserve">развития округа в долгосрочной перспективе направлено </w:t>
      </w:r>
      <w:r>
        <w:rPr>
          <w:spacing w:val="-2"/>
          <w:sz w:val="28"/>
          <w:szCs w:val="28"/>
        </w:rPr>
        <w:t>на</w:t>
      </w:r>
      <w:r>
        <w:rPr>
          <w:spacing w:val="-19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преодоление</w:t>
      </w:r>
      <w:r>
        <w:rPr>
          <w:spacing w:val="-16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бедности</w:t>
      </w:r>
      <w:r>
        <w:rPr>
          <w:spacing w:val="-16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в округе,</w:t>
      </w:r>
      <w:r>
        <w:rPr>
          <w:spacing w:val="-16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достижение</w:t>
      </w:r>
      <w:r>
        <w:rPr>
          <w:spacing w:val="-3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качественных </w:t>
      </w:r>
      <w:r>
        <w:rPr>
          <w:spacing w:val="-4"/>
          <w:sz w:val="28"/>
          <w:szCs w:val="28"/>
        </w:rPr>
        <w:t>изменений в</w:t>
      </w:r>
      <w:r>
        <w:rPr>
          <w:spacing w:val="-15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уровне</w:t>
      </w:r>
      <w:r>
        <w:rPr>
          <w:spacing w:val="-5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материального обеспечения населения округа</w:t>
      </w:r>
      <w:r>
        <w:rPr>
          <w:spacing w:val="-17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на</w:t>
      </w:r>
      <w:r>
        <w:rPr>
          <w:spacing w:val="-16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основе</w:t>
      </w:r>
      <w:r>
        <w:rPr>
          <w:spacing w:val="-16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роста</w:t>
      </w:r>
      <w:r>
        <w:rPr>
          <w:spacing w:val="-16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производительности</w:t>
      </w:r>
      <w:r>
        <w:rPr>
          <w:spacing w:val="-16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труда</w:t>
      </w:r>
      <w:r>
        <w:rPr>
          <w:spacing w:val="-16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в округе</w:t>
      </w:r>
      <w:r>
        <w:rPr>
          <w:spacing w:val="-17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и</w:t>
      </w:r>
      <w:r>
        <w:rPr>
          <w:spacing w:val="-16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качества</w:t>
      </w:r>
      <w:r>
        <w:rPr>
          <w:spacing w:val="-14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рабочей</w:t>
      </w:r>
      <w:r>
        <w:rPr>
          <w:spacing w:val="-16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силы,</w:t>
      </w:r>
      <w:r>
        <w:rPr>
          <w:spacing w:val="-16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повышения</w:t>
      </w:r>
      <w:r>
        <w:rPr>
          <w:spacing w:val="-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социальной</w:t>
      </w:r>
      <w:r>
        <w:rPr>
          <w:spacing w:val="-5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ответственности</w:t>
      </w:r>
      <w:r>
        <w:rPr>
          <w:spacing w:val="-17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бизнеса. </w:t>
      </w:r>
    </w:p>
    <w:p>
      <w:pPr>
        <w:pStyle w:val="Normal"/>
        <w:widowControl/>
        <w:bidi w:val="0"/>
        <w:spacing w:lineRule="auto" w:line="240" w:before="0" w:after="0"/>
        <w:ind w:hanging="0" w:left="0" w:right="0"/>
        <w:jc w:val="both"/>
        <w:rPr>
          <w:sz w:val="28"/>
          <w:szCs w:val="28"/>
        </w:rPr>
      </w:pPr>
      <w:r>
        <w:rPr>
          <w:color w:themeColor="text1" w:val="000000"/>
          <w:spacing w:val="-2"/>
          <w:sz w:val="28"/>
          <w:szCs w:val="28"/>
          <w:shd w:fill="auto" w:val="clear"/>
        </w:rPr>
        <w:tab/>
      </w:r>
      <w:r>
        <w:rPr>
          <w:color w:themeColor="text1" w:val="000000"/>
          <w:sz w:val="28"/>
          <w:szCs w:val="28"/>
          <w:shd w:fill="auto" w:val="clear"/>
        </w:rPr>
        <w:t xml:space="preserve">Также для достижения значений целевых показателей социально- экономического развития округа реализуется </w:t>
      </w:r>
      <w:r>
        <w:rPr>
          <w:color w:themeColor="text1" w:val="000000"/>
          <w:sz w:val="28"/>
          <w:szCs w:val="28"/>
          <w:shd w:fill="FFFFFF" w:val="clear"/>
        </w:rPr>
        <w:t>14 му</w:t>
      </w:r>
      <w:r>
        <w:rPr>
          <w:color w:themeColor="text1" w:val="000000"/>
          <w:sz w:val="28"/>
          <w:szCs w:val="28"/>
          <w:shd w:fill="auto" w:val="clear"/>
        </w:rPr>
        <w:t>ниципальных</w:t>
      </w:r>
      <w:r>
        <w:rPr>
          <w:color w:themeColor="text1" w:val="000000"/>
          <w:spacing w:val="-12"/>
          <w:sz w:val="28"/>
          <w:szCs w:val="28"/>
          <w:shd w:fill="auto" w:val="clear"/>
        </w:rPr>
        <w:t xml:space="preserve"> </w:t>
      </w:r>
      <w:r>
        <w:rPr>
          <w:color w:themeColor="text1" w:val="000000"/>
          <w:sz w:val="28"/>
          <w:szCs w:val="28"/>
          <w:shd w:fill="auto" w:val="clear"/>
        </w:rPr>
        <w:t xml:space="preserve">программ. </w:t>
      </w:r>
    </w:p>
    <w:p>
      <w:pPr>
        <w:pStyle w:val="Normal"/>
        <w:widowControl/>
        <w:bidi w:val="0"/>
        <w:spacing w:lineRule="auto" w:line="240" w:before="0" w:after="0"/>
        <w:ind w:hanging="0" w:left="0" w:right="0"/>
        <w:jc w:val="both"/>
        <w:rPr/>
      </w:pPr>
      <w:r>
        <w:rPr>
          <w:i w:val="false"/>
          <w:iCs w:val="false"/>
          <w:color w:themeColor="text1" w:val="000000"/>
          <w:sz w:val="28"/>
          <w:szCs w:val="28"/>
          <w:shd w:fill="auto" w:val="clear"/>
        </w:rPr>
        <w:tab/>
      </w:r>
      <w:r>
        <w:rPr>
          <w:i w:val="false"/>
          <w:iCs w:val="false"/>
          <w:sz w:val="28"/>
          <w:szCs w:val="28"/>
          <w:shd w:fill="auto" w:val="clear"/>
        </w:rPr>
        <w:t>В результате развития основных отраслей экономики окру</w:t>
      </w:r>
      <w:r>
        <w:rPr>
          <w:i w:val="false"/>
          <w:iCs w:val="false"/>
          <w:sz w:val="28"/>
          <w:szCs w:val="28"/>
        </w:rPr>
        <w:t>га, а также инфраструктуры,</w:t>
      </w:r>
      <w:r>
        <w:rPr>
          <w:i w:val="false"/>
          <w:iCs w:val="false"/>
          <w:spacing w:val="-8"/>
          <w:sz w:val="28"/>
          <w:szCs w:val="28"/>
        </w:rPr>
        <w:t xml:space="preserve"> </w:t>
      </w:r>
      <w:r>
        <w:rPr>
          <w:i w:val="false"/>
          <w:iCs w:val="false"/>
          <w:sz w:val="28"/>
          <w:szCs w:val="28"/>
        </w:rPr>
        <w:t>в</w:t>
      </w:r>
      <w:r>
        <w:rPr>
          <w:i w:val="false"/>
          <w:iCs w:val="false"/>
          <w:spacing w:val="-1"/>
          <w:sz w:val="28"/>
          <w:szCs w:val="28"/>
        </w:rPr>
        <w:t xml:space="preserve"> </w:t>
      </w:r>
      <w:r>
        <w:rPr>
          <w:i w:val="false"/>
          <w:iCs w:val="false"/>
          <w:sz w:val="28"/>
          <w:szCs w:val="28"/>
        </w:rPr>
        <w:t>соответствии с</w:t>
      </w:r>
      <w:r>
        <w:rPr>
          <w:i w:val="false"/>
          <w:iCs w:val="false"/>
          <w:spacing w:val="-1"/>
          <w:sz w:val="28"/>
          <w:szCs w:val="28"/>
        </w:rPr>
        <w:t xml:space="preserve"> </w:t>
      </w:r>
      <w:r>
        <w:rPr>
          <w:i w:val="false"/>
          <w:iCs w:val="false"/>
          <w:sz w:val="28"/>
          <w:szCs w:val="28"/>
        </w:rPr>
        <w:t>приоритетами социально-экономического</w:t>
      </w:r>
      <w:r>
        <w:rPr>
          <w:i w:val="false"/>
          <w:iCs w:val="false"/>
          <w:spacing w:val="-8"/>
          <w:sz w:val="28"/>
          <w:szCs w:val="28"/>
        </w:rPr>
        <w:t xml:space="preserve"> </w:t>
      </w:r>
      <w:r>
        <w:rPr>
          <w:i w:val="false"/>
          <w:iCs w:val="false"/>
          <w:sz w:val="28"/>
          <w:szCs w:val="28"/>
        </w:rPr>
        <w:t>развития округа, предполагается рост объемов промышленного и сельскохозяйственного производства округа, инвестиционной деятельности в округе</w:t>
      </w:r>
      <w:r>
        <w:rPr>
          <w:i w:val="false"/>
          <w:iCs w:val="false"/>
          <w:sz w:val="28"/>
          <w:szCs w:val="28"/>
          <w:shd w:fill="auto" w:val="clear"/>
        </w:rPr>
        <w:t>, ввода в</w:t>
      </w:r>
      <w:r>
        <w:rPr>
          <w:i w:val="false"/>
          <w:iCs w:val="false"/>
          <w:spacing w:val="-9"/>
          <w:sz w:val="28"/>
          <w:szCs w:val="28"/>
          <w:shd w:fill="auto" w:val="clear"/>
        </w:rPr>
        <w:t xml:space="preserve"> </w:t>
      </w:r>
      <w:r>
        <w:rPr>
          <w:i w:val="false"/>
          <w:iCs w:val="false"/>
          <w:sz w:val="28"/>
          <w:szCs w:val="28"/>
          <w:shd w:fill="auto" w:val="clear"/>
        </w:rPr>
        <w:t>действие жилых домов в округ</w:t>
      </w:r>
      <w:r>
        <w:rPr>
          <w:i w:val="false"/>
          <w:iCs w:val="false"/>
          <w:sz w:val="28"/>
          <w:szCs w:val="28"/>
          <w:shd w:fill="FFFFFF" w:val="clear"/>
        </w:rPr>
        <w:t xml:space="preserve">е, оборота розничной торговли округа, </w:t>
      </w:r>
      <w:r>
        <w:rPr>
          <w:i w:val="false"/>
          <w:iCs w:val="false"/>
          <w:color w:themeColor="text1" w:val="000000"/>
          <w:sz w:val="28"/>
          <w:szCs w:val="28"/>
          <w:shd w:fill="FFFFFF" w:val="clear"/>
        </w:rPr>
        <w:t xml:space="preserve">увеличение среднемесячной номинальной </w:t>
      </w:r>
      <w:r>
        <w:rPr>
          <w:i w:val="false"/>
          <w:iCs w:val="false"/>
          <w:color w:themeColor="text1" w:val="000000"/>
          <w:sz w:val="28"/>
          <w:szCs w:val="28"/>
          <w:shd w:fill="auto" w:val="clear"/>
        </w:rPr>
        <w:t>начисленной заработной платы работников организаций по округу и улучшения экологического</w:t>
      </w:r>
      <w:r>
        <w:rPr>
          <w:i w:val="false"/>
          <w:iCs w:val="false"/>
          <w:color w:themeColor="text1" w:val="000000"/>
          <w:spacing w:val="-1"/>
          <w:sz w:val="28"/>
          <w:szCs w:val="28"/>
          <w:shd w:fill="auto" w:val="clear"/>
        </w:rPr>
        <w:t xml:space="preserve"> </w:t>
      </w:r>
      <w:r>
        <w:rPr>
          <w:i w:val="false"/>
          <w:iCs w:val="false"/>
          <w:color w:themeColor="text1" w:val="000000"/>
          <w:sz w:val="28"/>
          <w:szCs w:val="28"/>
          <w:shd w:fill="auto" w:val="clear"/>
        </w:rPr>
        <w:t>благополучия на территории округа.</w:t>
      </w:r>
    </w:p>
    <w:p>
      <w:pPr>
        <w:pStyle w:val="Normal"/>
        <w:widowControl/>
        <w:bidi w:val="0"/>
        <w:spacing w:lineRule="auto" w:line="240" w:before="0" w:after="0"/>
        <w:ind w:hanging="0" w:left="0" w:right="0"/>
        <w:jc w:val="both"/>
        <w:rPr>
          <w:color w:themeColor="text1" w:val="000000"/>
        </w:rPr>
      </w:pPr>
      <w:r>
        <w:rPr>
          <w:color w:themeColor="text1" w:val="000000"/>
        </w:rPr>
      </w:r>
    </w:p>
    <w:p>
      <w:pPr>
        <w:pStyle w:val="Normal"/>
        <w:widowControl/>
        <w:bidi w:val="0"/>
        <w:spacing w:lineRule="auto" w:line="240" w:before="0" w:after="0"/>
        <w:ind w:hanging="0" w:left="0" w:right="0"/>
        <w:jc w:val="both"/>
        <w:rPr>
          <w:color w:themeColor="text1" w:val="000000"/>
          <w:sz w:val="28"/>
          <w:szCs w:val="28"/>
          <w:highlight w:val="none"/>
          <w:shd w:fill="FFFF00" w:val="clear"/>
        </w:rPr>
      </w:pPr>
      <w:r>
        <w:rPr>
          <w:color w:themeColor="text1" w:val="000000"/>
          <w:sz w:val="28"/>
          <w:szCs w:val="28"/>
          <w:shd w:fill="FFFF00" w:val="clear"/>
        </w:rPr>
      </w:r>
    </w:p>
    <w:p>
      <w:pPr>
        <w:pStyle w:val="aj"/>
        <w:shd w:val="clear" w:color="auto" w:fill="FFFFFF"/>
        <w:spacing w:beforeAutospacing="0" w:before="0" w:afterAutospacing="0" w:after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sectPr>
      <w:type w:val="nextPage"/>
      <w:pgSz w:w="11906" w:h="16838"/>
      <w:pgMar w:left="1701" w:right="851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swiss"/>
    <w:pitch w:val="variable"/>
  </w:font>
  <w:font w:name="Liberation Sans">
    <w:altName w:val="Arial"/>
    <w:charset w:val="01"/>
    <w:family w:val="swiss"/>
    <w:pitch w:val="variable"/>
  </w:font>
  <w:font w:name="Tahoma">
    <w:charset w:val="01"/>
    <w:family w:val="auto"/>
    <w:pitch w:val="variable"/>
  </w:font>
  <w:font w:name="Courier New">
    <w:charset w:val="01"/>
    <w:family w:val="auto"/>
    <w:pitch w:val="variable"/>
  </w:font>
  <w:font w:name="Calibri">
    <w:charset w:val="01"/>
    <w:family w:val="auto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ahoma" w:cs="Noto Sans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ahoma" w:cs="Noto Sans"/>
      <w:color w:val="auto"/>
      <w:kern w:val="0"/>
      <w:sz w:val="24"/>
      <w:szCs w:val="24"/>
      <w:lang w:val="ru-RU" w:eastAsia="ru-RU" w:bidi="ar-SA"/>
    </w:rPr>
  </w:style>
  <w:style w:type="paragraph" w:styleId="Heading1">
    <w:name w:val="heading 1"/>
    <w:basedOn w:val="Normal"/>
    <w:qFormat/>
    <w:pPr>
      <w:keepNext w:val="true"/>
      <w:tabs>
        <w:tab w:val="clear" w:pos="708"/>
        <w:tab w:val="left" w:pos="1070" w:leader="none"/>
      </w:tabs>
      <w:ind w:hanging="360" w:left="1070"/>
      <w:jc w:val="both"/>
      <w:outlineLvl w:val="0"/>
    </w:pPr>
    <w:rPr>
      <w:sz w:val="28"/>
      <w:lang w:eastAsia="ar-SA"/>
    </w:rPr>
  </w:style>
  <w:style w:type="paragraph" w:styleId="Heading2">
    <w:name w:val="heading 2"/>
    <w:basedOn w:val="Normal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Heading3">
    <w:name w:val="heading 3"/>
    <w:basedOn w:val="Normal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Heading4">
    <w:name w:val="heading 4"/>
    <w:basedOn w:val="Normal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>
    <w:name w:val="heading 5"/>
    <w:basedOn w:val="Normal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Heading6">
    <w:name w:val="heading 6"/>
    <w:basedOn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Heading7">
    <w:name w:val="heading 7"/>
    <w:basedOn w:val="Normal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Heading9">
    <w:name w:val="heading 9"/>
    <w:basedOn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CaptionChar">
    <w:name w:val="Caption Char"/>
    <w:uiPriority w:val="99"/>
    <w:qFormat/>
    <w:rPr/>
  </w:style>
  <w:style w:type="character" w:styleId="Hyperlink">
    <w:name w:val="Hyperlink"/>
    <w:uiPriority w:val="99"/>
    <w:unhideWhenUsed/>
    <w:rPr>
      <w:color w:themeColor="hyperlink" w:val="0000FF"/>
      <w:u w:val="single"/>
    </w:rPr>
  </w:style>
  <w:style w:type="character" w:styleId="FootnoteTextChar">
    <w:name w:val="Footnote Text Char"/>
    <w:uiPriority w:val="99"/>
    <w:qFormat/>
    <w:rPr>
      <w:sz w:val="18"/>
    </w:rPr>
  </w:style>
  <w:style w:type="character" w:styleId="Style5">
    <w:name w:val="Символ сноски"/>
    <w:uiPriority w:val="99"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6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ntStyle12" w:customStyle="1">
    <w:name w:val="Font Style12"/>
    <w:basedOn w:val="DefaultParagraphFont"/>
    <w:uiPriority w:val="99"/>
    <w:qFormat/>
    <w:rPr>
      <w:rFonts w:ascii="Arial" w:hAnsi="Arial" w:cs="Arial"/>
      <w:sz w:val="18"/>
      <w:szCs w:val="18"/>
    </w:rPr>
  </w:style>
  <w:style w:type="character" w:styleId="1" w:customStyle="1">
    <w:name w:val="Заголовок 1 Знак"/>
    <w:basedOn w:val="DefaultParagraphFont"/>
    <w:qFormat/>
    <w:rPr>
      <w:sz w:val="28"/>
      <w:szCs w:val="24"/>
      <w:lang w:eastAsia="ar-SA"/>
    </w:rPr>
  </w:style>
  <w:style w:type="character" w:styleId="FontStyle17" w:customStyle="1">
    <w:name w:val="Font Style17"/>
    <w:basedOn w:val="DefaultParagraphFont"/>
    <w:uiPriority w:val="99"/>
    <w:qFormat/>
    <w:rPr>
      <w:rFonts w:ascii="Times New Roman" w:hAnsi="Times New Roman" w:cs="Times New Roman"/>
      <w:sz w:val="28"/>
      <w:szCs w:val="28"/>
    </w:rPr>
  </w:style>
  <w:style w:type="character" w:styleId="Style7" w:customStyle="1">
    <w:name w:val="Основной текст Знак"/>
    <w:basedOn w:val="DefaultParagraphFont"/>
    <w:uiPriority w:val="99"/>
    <w:qFormat/>
    <w:rPr>
      <w:rFonts w:eastAsia="Calibri"/>
      <w:sz w:val="24"/>
    </w:rPr>
  </w:style>
  <w:style w:type="paragraph" w:styleId="Style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uiPriority w:val="99"/>
    <w:pPr>
      <w:spacing w:lineRule="exact" w:line="360" w:before="120" w:after="120"/>
      <w:ind w:firstLine="709"/>
    </w:pPr>
    <w:rPr>
      <w:rFonts w:eastAsia="Calibri"/>
      <w:szCs w:val="20"/>
    </w:rPr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uiPriority w:val="35"/>
    <w:semiHidden/>
    <w:unhideWhenUsed/>
    <w:qFormat/>
    <w:pPr>
      <w:spacing w:lineRule="auto" w:line="276"/>
    </w:pPr>
    <w:rPr>
      <w:b/>
      <w:bCs/>
      <w:color w:themeColor="accent1" w:val="4F81BD"/>
      <w:sz w:val="18"/>
      <w:szCs w:val="18"/>
    </w:rPr>
  </w:style>
  <w:style w:type="paragraph" w:styleId="Style9">
    <w:name w:val="Указатель"/>
    <w:basedOn w:val="Normal"/>
    <w:qFormat/>
    <w:pPr>
      <w:suppressLineNumbers/>
    </w:pPr>
    <w:rPr>
      <w:rFonts w:cs="Noto 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Noto Sans"/>
    </w:rPr>
  </w:style>
  <w:style w:type="paragraph" w:styleId="NoSpacing">
    <w:name w:val="No Spacing"/>
    <w:uiPriority w:val="1"/>
    <w:qFormat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ahoma" w:cs="Noto Sans"/>
      <w:color w:val="auto"/>
      <w:kern w:val="0"/>
      <w:sz w:val="20"/>
      <w:szCs w:val="20"/>
      <w:lang w:val="ru-RU" w:eastAsia="ru-RU" w:bidi="ar-SA"/>
    </w:rPr>
  </w:style>
  <w:style w:type="paragraph" w:styleId="Title">
    <w:name w:val="Title"/>
    <w:basedOn w:val="Normal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ubtitle">
    <w:name w:val="Subtitle"/>
    <w:basedOn w:val="Normal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uiPriority w:val="29"/>
    <w:qFormat/>
    <w:pPr>
      <w:ind w:left="720" w:right="72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0"/>
      <w:ind w:left="720" w:right="720"/>
    </w:pPr>
    <w:rPr>
      <w:i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er">
    <w:name w:val="foot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noteText">
    <w:name w:val="footnote text"/>
    <w:basedOn w:val="Normal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EndnoteText">
    <w:name w:val="endnote text"/>
    <w:basedOn w:val="Normal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TOC1">
    <w:name w:val="toc 1"/>
    <w:basedOn w:val="Normal"/>
    <w:uiPriority w:val="39"/>
    <w:unhideWhenUsed/>
    <w:pPr>
      <w:spacing w:before="0" w:after="57"/>
      <w:ind w:hanging="0" w:left="0" w:right="0"/>
    </w:pPr>
    <w:rPr/>
  </w:style>
  <w:style w:type="paragraph" w:styleId="TOC2">
    <w:name w:val="toc 2"/>
    <w:basedOn w:val="Normal"/>
    <w:uiPriority w:val="39"/>
    <w:unhideWhenUsed/>
    <w:pPr>
      <w:spacing w:before="0" w:after="57"/>
      <w:ind w:hanging="0" w:left="283" w:right="0"/>
    </w:pPr>
    <w:rPr/>
  </w:style>
  <w:style w:type="paragraph" w:styleId="TOC3">
    <w:name w:val="toc 3"/>
    <w:basedOn w:val="Normal"/>
    <w:uiPriority w:val="39"/>
    <w:unhideWhenUsed/>
    <w:pPr>
      <w:spacing w:before="0" w:after="57"/>
      <w:ind w:hanging="0" w:left="567" w:right="0"/>
    </w:pPr>
    <w:rPr/>
  </w:style>
  <w:style w:type="paragraph" w:styleId="TOC4">
    <w:name w:val="toc 4"/>
    <w:basedOn w:val="Normal"/>
    <w:uiPriority w:val="39"/>
    <w:unhideWhenUsed/>
    <w:pPr>
      <w:spacing w:before="0" w:after="57"/>
      <w:ind w:hanging="0" w:left="850" w:right="0"/>
    </w:pPr>
    <w:rPr/>
  </w:style>
  <w:style w:type="paragraph" w:styleId="TOC5">
    <w:name w:val="toc 5"/>
    <w:basedOn w:val="Normal"/>
    <w:uiPriority w:val="39"/>
    <w:unhideWhenUsed/>
    <w:pPr>
      <w:spacing w:before="0" w:after="57"/>
      <w:ind w:hanging="0" w:left="1134" w:right="0"/>
    </w:pPr>
    <w:rPr/>
  </w:style>
  <w:style w:type="paragraph" w:styleId="TOC6">
    <w:name w:val="toc 6"/>
    <w:basedOn w:val="Normal"/>
    <w:uiPriority w:val="39"/>
    <w:unhideWhenUsed/>
    <w:pPr>
      <w:spacing w:before="0" w:after="57"/>
      <w:ind w:hanging="0" w:left="1417" w:right="0"/>
    </w:pPr>
    <w:rPr/>
  </w:style>
  <w:style w:type="paragraph" w:styleId="TOC7">
    <w:name w:val="toc 7"/>
    <w:basedOn w:val="Normal"/>
    <w:uiPriority w:val="39"/>
    <w:unhideWhenUsed/>
    <w:pPr>
      <w:spacing w:before="0" w:after="57"/>
      <w:ind w:hanging="0" w:left="1701" w:right="0"/>
    </w:pPr>
    <w:rPr/>
  </w:style>
  <w:style w:type="paragraph" w:styleId="TOC8">
    <w:name w:val="toc 8"/>
    <w:basedOn w:val="Normal"/>
    <w:uiPriority w:val="39"/>
    <w:unhideWhenUsed/>
    <w:pPr>
      <w:spacing w:before="0" w:after="57"/>
      <w:ind w:hanging="0" w:left="1984" w:right="0"/>
    </w:pPr>
    <w:rPr/>
  </w:style>
  <w:style w:type="paragraph" w:styleId="TOC9">
    <w:name w:val="toc 9"/>
    <w:basedOn w:val="Normal"/>
    <w:uiPriority w:val="39"/>
    <w:unhideWhenUsed/>
    <w:pPr>
      <w:spacing w:before="0" w:after="57"/>
      <w:ind w:hanging="0" w:left="2268" w:right="0"/>
    </w:pPr>
    <w:rPr/>
  </w:style>
  <w:style w:type="paragraph" w:styleId="IndexHeading">
    <w:name w:val="index heading"/>
    <w:basedOn w:val="user"/>
    <w:pPr/>
    <w:rPr/>
  </w:style>
  <w:style w:type="paragraph" w:styleId="TOCHeading">
    <w:name w:val="TOC Heading"/>
    <w:uiPriority w:val="39"/>
    <w:unhideWhenUsed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ahoma" w:cs="Noto Sans"/>
      <w:color w:val="auto"/>
      <w:kern w:val="0"/>
      <w:sz w:val="20"/>
      <w:szCs w:val="20"/>
      <w:lang w:val="ru-RU" w:eastAsia="ru-RU" w:bidi="ar-SA"/>
    </w:rPr>
  </w:style>
  <w:style w:type="paragraph" w:styleId="TableofFigures">
    <w:name w:val="table of figures"/>
    <w:basedOn w:val="Normal"/>
    <w:uiPriority w:val="99"/>
    <w:unhideWhenUsed/>
    <w:pPr>
      <w:spacing w:before="0" w:afterAutospacing="0" w:after="0"/>
    </w:pPr>
    <w:rPr/>
  </w:style>
  <w:style w:type="paragraph" w:styleId="BalloonText">
    <w:name w:val="Balloon Text"/>
    <w:basedOn w:val="Normal"/>
    <w:semiHidden/>
    <w:qFormat/>
    <w:pPr/>
    <w:rPr>
      <w:rFonts w:ascii="Tahoma" w:hAnsi="Tahoma" w:cs="Tahoma"/>
      <w:sz w:val="16"/>
      <w:szCs w:val="16"/>
    </w:rPr>
  </w:style>
  <w:style w:type="paragraph" w:styleId="ConsNonformat" w:customStyle="1">
    <w:name w:val="ConsNonformat"/>
    <w:qFormat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Arial" w:cs="Courier New"/>
      <w:color w:val="auto"/>
      <w:kern w:val="0"/>
      <w:sz w:val="20"/>
      <w:szCs w:val="20"/>
      <w:lang w:val="ru-RU" w:eastAsia="ar-SA" w:bidi="ar-SA"/>
    </w:rPr>
  </w:style>
  <w:style w:type="paragraph" w:styleId="21" w:customStyle="1">
    <w:name w:val="Основной текст с отступом 21"/>
    <w:basedOn w:val="Normal"/>
    <w:qFormat/>
    <w:pPr>
      <w:ind w:firstLine="900"/>
      <w:jc w:val="both"/>
    </w:pPr>
    <w:rPr>
      <w:lang w:eastAsia="ar-SA"/>
    </w:rPr>
  </w:style>
  <w:style w:type="paragraph" w:styleId="ListParagraph">
    <w:name w:val="List Paragraph"/>
    <w:basedOn w:val="Normal"/>
    <w:qFormat/>
    <w:pPr>
      <w:spacing w:lineRule="auto" w:line="276" w:before="0" w:after="200"/>
      <w:ind w:left="720"/>
    </w:pPr>
    <w:rPr>
      <w:rFonts w:ascii="Calibri" w:hAnsi="Calibri" w:eastAsia="Calibri"/>
      <w:sz w:val="22"/>
      <w:szCs w:val="22"/>
      <w:lang w:eastAsia="ar-SA"/>
    </w:rPr>
  </w:style>
  <w:style w:type="paragraph" w:styleId="ConsPlusNormal" w:customStyle="1">
    <w:name w:val="ConsPlus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Noto Sans"/>
      <w:color w:val="auto"/>
      <w:kern w:val="0"/>
      <w:sz w:val="28"/>
      <w:szCs w:val="28"/>
      <w:lang w:val="ru-RU" w:eastAsia="en-US" w:bidi="ar-SA"/>
    </w:rPr>
  </w:style>
  <w:style w:type="paragraph" w:styleId="aj" w:customStyle="1">
    <w:name w:val="_aj"/>
    <w:basedOn w:val="Normal"/>
    <w:qFormat/>
    <w:pPr>
      <w:spacing w:beforeAutospacing="1" w:afterAutospacing="1"/>
    </w:pPr>
    <w:rPr/>
  </w:style>
  <w:style w:type="paragraph" w:styleId="Style10">
    <w:name w:val="Содержимое врезки"/>
    <w:basedOn w:val="Normal"/>
    <w:qFormat/>
    <w:pPr/>
    <w:rPr/>
  </w:style>
  <w:style w:type="paragraph" w:styleId="user2">
    <w:name w:val="Содержимое врезки (user)"/>
    <w:basedOn w:val="Normal"/>
    <w:qFormat/>
    <w:pPr/>
    <w:rPr/>
  </w:style>
  <w:style w:type="numbering" w:styleId="Style11" w:default="1">
    <w:name w:val="Без списка"/>
    <w:uiPriority w:val="99"/>
    <w:semiHidden/>
    <w:unhideWhenUsed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Arial" pitchFamily="0" charset="1"/>
        <a:cs typeface="Arial" pitchFamily="0" charset="1"/>
      </a:majorFont>
      <a:minorFont>
        <a:latin typeface="Calibri" pitchFamily="0" charset="1"/>
        <a:ea typeface="Arial" pitchFamily="0" charset="1"/>
        <a:cs typeface="Arial" pitchFamily="0" charset="1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0" t="0" r="0" b="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0" t="0" r="0" b="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CEF514-FF9B-4AF2-A4D4-E1D804E1F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Application>LibreOffice/24.8.5.2$Linux_X86_64 LibreOffice_project/480$Build-2</Application>
  <AppVersion>15.0000</AppVersion>
  <Pages>3</Pages>
  <Words>668</Words>
  <Characters>4733</Characters>
  <CharactersWithSpaces>5458</CharactersWithSpaces>
  <Paragraphs>27</Paragraphs>
  <Company>Work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2010-07-14T12:07:00Z</dcterms:created>
  <dc:creator>Степановна</dc:creator>
  <dc:description/>
  <dc:language>ru-RU</dc:language>
  <cp:lastModifiedBy/>
  <cp:lastPrinted>2025-08-04T11:51:09Z</cp:lastPrinted>
  <dcterms:modified xsi:type="dcterms:W3CDTF">2025-08-06T14:14:11Z</dcterms:modified>
  <cp:revision>194</cp:revision>
  <dc:subject/>
  <dc:title>Пояснительная  записка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