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/>
        <w:jc w:val="center"/>
        <w:outlineLvl w:val="1"/>
        <w:rPr>
          <w:rFonts w:ascii="Roboto-Regular" w:hAnsi="Roboto-Regular" w:eastAsia="Times New Roman"/>
          <w:color w:val="212121"/>
          <w:sz w:val="32"/>
          <w:szCs w:val="32"/>
          <w:lang w:eastAsia="ru-RU"/>
        </w:rPr>
      </w:pPr>
      <w:r>
        <w:rPr>
          <w:rFonts w:eastAsia="Times New Roman" w:ascii="Roboto-Regular" w:hAnsi="Roboto-Regular"/>
          <w:color w:val="212121"/>
          <w:sz w:val="32"/>
          <w:szCs w:val="32"/>
          <w:lang w:eastAsia="ru-RU"/>
        </w:rPr>
        <w:t>ПРОТОКОЛ № 1</w:t>
      </w:r>
    </w:p>
    <w:p>
      <w:pPr>
        <w:pStyle w:val="Normal"/>
        <w:numPr>
          <w:ilvl w:val="0"/>
          <w:numId w:val="0"/>
        </w:numPr>
        <w:ind w:hanging="0"/>
        <w:jc w:val="center"/>
        <w:outlineLvl w:val="1"/>
        <w:rPr>
          <w:rFonts w:ascii="Roboto-Regular" w:hAnsi="Roboto-Regular" w:eastAsia="Times New Roman"/>
          <w:color w:val="212121"/>
          <w:sz w:val="32"/>
          <w:szCs w:val="32"/>
          <w:lang w:eastAsia="ru-RU"/>
        </w:rPr>
      </w:pPr>
      <w:r>
        <w:rPr>
          <w:rFonts w:eastAsia="Times New Roman" w:ascii="Roboto-Regular" w:hAnsi="Roboto-Regular"/>
          <w:color w:val="212121"/>
          <w:sz w:val="32"/>
          <w:szCs w:val="32"/>
          <w:lang w:eastAsia="ru-RU"/>
        </w:rPr>
        <w:t>ПУБЛИЧНЫХ СЛУШАНИЙ (ОБЩЕСТВЕННЫХ ОБСУ</w:t>
      </w:r>
      <w:r>
        <w:rPr>
          <w:rFonts w:eastAsia="Times New Roman" w:ascii="Roboto-Regular" w:hAnsi="Roboto-Regular"/>
          <w:color w:val="212121"/>
          <w:sz w:val="32"/>
          <w:szCs w:val="32"/>
          <w:lang w:eastAsia="ru-RU"/>
        </w:rPr>
        <w:t>Ж</w:t>
      </w:r>
      <w:r>
        <w:rPr>
          <w:rFonts w:eastAsia="Times New Roman" w:ascii="Roboto-Regular" w:hAnsi="Roboto-Regular"/>
          <w:color w:val="212121"/>
          <w:sz w:val="32"/>
          <w:szCs w:val="32"/>
          <w:lang w:eastAsia="ru-RU"/>
        </w:rPr>
        <w:t>ДЕНИЙ)</w:t>
      </w:r>
    </w:p>
    <w:p>
      <w:pPr>
        <w:pStyle w:val="Normal"/>
        <w:tabs>
          <w:tab w:val="clear" w:pos="708"/>
          <w:tab w:val="left" w:pos="7200" w:leader="none"/>
        </w:tabs>
        <w:ind w:firstLine="720" w:left="4536"/>
        <w:rPr>
          <w:bCs/>
          <w:sz w:val="24"/>
          <w:u w:val="single"/>
        </w:rPr>
      </w:pPr>
      <w:r>
        <w:rPr>
          <w:bCs/>
          <w:sz w:val="24"/>
          <w:u w:val="single"/>
        </w:rPr>
      </w:r>
    </w:p>
    <w:p>
      <w:pPr>
        <w:pStyle w:val="Normal"/>
        <w:tabs>
          <w:tab w:val="clear" w:pos="708"/>
          <w:tab w:val="left" w:pos="7200" w:leader="none"/>
        </w:tabs>
        <w:ind w:hanging="0" w:left="3828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Дата проведения</w:t>
      </w:r>
      <w:r>
        <w:rPr>
          <w:bCs/>
          <w:sz w:val="24"/>
          <w:szCs w:val="24"/>
        </w:rPr>
        <w:t xml:space="preserve"> – 30.03.2026</w:t>
      </w:r>
    </w:p>
    <w:p>
      <w:pPr>
        <w:pStyle w:val="Normal"/>
        <w:tabs>
          <w:tab w:val="clear" w:pos="708"/>
          <w:tab w:val="left" w:pos="7200" w:leader="none"/>
        </w:tabs>
        <w:ind w:hanging="0" w:left="3828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Время проведения</w:t>
      </w:r>
      <w:r>
        <w:rPr>
          <w:bCs/>
          <w:sz w:val="24"/>
          <w:szCs w:val="24"/>
        </w:rPr>
        <w:t xml:space="preserve"> – 08:45ч.</w:t>
      </w:r>
    </w:p>
    <w:p>
      <w:pPr>
        <w:pStyle w:val="Normal"/>
        <w:tabs>
          <w:tab w:val="clear" w:pos="708"/>
          <w:tab w:val="left" w:pos="7200" w:leader="none"/>
        </w:tabs>
        <w:ind w:hanging="0" w:left="3828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Место проведения</w:t>
      </w:r>
      <w:r>
        <w:rPr>
          <w:bCs/>
          <w:sz w:val="24"/>
          <w:szCs w:val="24"/>
        </w:rPr>
        <w:t xml:space="preserve"> – с.Летняя Ставка,</w:t>
      </w:r>
    </w:p>
    <w:p>
      <w:pPr>
        <w:pStyle w:val="Normal"/>
        <w:tabs>
          <w:tab w:val="clear" w:pos="708"/>
          <w:tab w:val="left" w:pos="7200" w:leader="none"/>
        </w:tabs>
        <w:ind w:hanging="0" w:left="3828"/>
        <w:rPr>
          <w:bCs/>
          <w:sz w:val="24"/>
          <w:szCs w:val="24"/>
        </w:rPr>
      </w:pPr>
      <w:r>
        <w:rPr>
          <w:bCs/>
          <w:sz w:val="24"/>
          <w:szCs w:val="24"/>
        </w:rPr>
        <w:t>ул. Советская 122, администрация ТМО СК,</w:t>
      </w:r>
    </w:p>
    <w:p>
      <w:pPr>
        <w:pStyle w:val="Normal"/>
        <w:tabs>
          <w:tab w:val="clear" w:pos="708"/>
          <w:tab w:val="left" w:pos="7200" w:leader="none"/>
        </w:tabs>
        <w:ind w:hanging="0" w:left="382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зал заседания администрации </w:t>
      </w:r>
    </w:p>
    <w:p>
      <w:pPr>
        <w:pStyle w:val="Normal"/>
        <w:tabs>
          <w:tab w:val="clear" w:pos="708"/>
          <w:tab w:val="left" w:pos="7200" w:leader="none"/>
        </w:tabs>
        <w:ind w:firstLine="720" w:left="5103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ind w:firstLine="709" w:left="0"/>
        <w:jc w:val="both"/>
        <w:rPr/>
      </w:pPr>
      <w:r>
        <w:rPr/>
        <w:t>Публичные слушания открывает и ведёт председательствующий на публичных слушаниях, председатель Постоянной комиссии Совета Туркменского муниципального округа Ставропольского края по бюджету, экономической политике, налогам, собственности и инвестициям – Будко Ольга Викторовна.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u w:val="single"/>
          <w:lang w:eastAsia="ru-RU"/>
        </w:rPr>
      </w:pPr>
      <w:r>
        <w:rPr>
          <w:rFonts w:eastAsia="Times New Roman"/>
          <w:color w:val="212121"/>
          <w:sz w:val="24"/>
          <w:szCs w:val="24"/>
          <w:u w:val="single"/>
          <w:lang w:eastAsia="ru-RU"/>
        </w:rPr>
        <w:t>Инициатор публичных слушаний: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Глава Туркменского муниципального округа Ставропольского края;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Постоянная комиссия Туркменского муниципального округа по бюджету, экономической политике, налогам, собственности и инвестициям.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 xml:space="preserve">Публичные слушания назначены распоряжением Главы Туркменского муниципального округа Ставропольского края </w:t>
      </w:r>
      <w:r>
        <w:rPr>
          <w:sz w:val="24"/>
          <w:szCs w:val="24"/>
        </w:rPr>
        <w:t xml:space="preserve">от 25 февраля 2026 года № 1- р </w:t>
      </w:r>
      <w:r>
        <w:rPr>
          <w:rFonts w:eastAsia="Times New Roman"/>
          <w:color w:val="212121"/>
          <w:sz w:val="24"/>
          <w:szCs w:val="24"/>
          <w:lang w:eastAsia="ru-RU"/>
        </w:rPr>
        <w:t>«О назначении публичных слушаний по обсуждению проекта «Об исполнении бюджета Туркменского муниципального округа Ставропольского края за 2025 год».</w:t>
      </w:r>
    </w:p>
    <w:p>
      <w:pPr>
        <w:pStyle w:val="Normal"/>
        <w:ind w:firstLine="709"/>
        <w:rPr>
          <w:sz w:val="24"/>
          <w:szCs w:val="24"/>
        </w:rPr>
      </w:pPr>
      <w:r>
        <w:rPr>
          <w:rFonts w:eastAsia="Times New Roman"/>
          <w:color w:val="212121"/>
          <w:sz w:val="24"/>
          <w:szCs w:val="24"/>
          <w:lang w:eastAsia="ru-RU"/>
        </w:rPr>
        <w:t xml:space="preserve">Для ознакомления, обсуждения и выявления общественного мнения жителей Туркменского района, </w:t>
      </w:r>
      <w:r>
        <w:rPr>
          <w:sz w:val="24"/>
          <w:szCs w:val="24"/>
        </w:rPr>
        <w:t xml:space="preserve">проект </w:t>
      </w:r>
      <w:r>
        <w:rPr>
          <w:rFonts w:eastAsia="Times New Roman"/>
          <w:color w:val="212121"/>
          <w:sz w:val="24"/>
          <w:szCs w:val="24"/>
          <w:lang w:eastAsia="ru-RU"/>
        </w:rPr>
        <w:t xml:space="preserve">«Об исполнении бюджета Туркменского муниципального округа Ставропольского края за 2025 год» </w:t>
      </w:r>
      <w:r>
        <w:rPr>
          <w:sz w:val="24"/>
          <w:szCs w:val="24"/>
        </w:rPr>
        <w:t>опубликован в сетевом издании органов местного самоуправления Туркменского муниципального округа Ставропольского края «Правовой портал Туркменского муниципального округа Ставропольского края» (</w:t>
      </w:r>
      <w:r>
        <w:rPr>
          <w:color w:val="000000"/>
          <w:sz w:val="24"/>
          <w:szCs w:val="24"/>
        </w:rPr>
        <w:t>http://право</w:t>
      </w:r>
      <w:r>
        <w:rPr>
          <w:sz w:val="24"/>
          <w:szCs w:val="24"/>
        </w:rPr>
        <w:t>-туркменский.рф) и размещен на официальном сайте администрации Туркменского муниципального округа в информационно-телекоммуникационной сети «Интернет».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u w:val="single"/>
          <w:lang w:eastAsia="ru-RU"/>
        </w:rPr>
      </w:pPr>
      <w:r>
        <w:rPr>
          <w:rFonts w:eastAsia="Times New Roman"/>
          <w:color w:val="212121"/>
          <w:sz w:val="24"/>
          <w:szCs w:val="24"/>
          <w:u w:val="single"/>
          <w:lang w:eastAsia="ru-RU"/>
        </w:rPr>
        <w:t>На публичных слушаниях присутствуют: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-депутаты муниципального округа,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представители администрации Туркменского муниципального округа,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руководители структурных подразделений,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общественные организации,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- жители округа</w:t>
      </w:r>
    </w:p>
    <w:p>
      <w:pPr>
        <w:pStyle w:val="Normal"/>
        <w:ind w:firstLine="709"/>
        <w:jc w:val="right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(Список прилагается)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u w:val="single"/>
          <w:lang w:eastAsia="ru-RU"/>
        </w:rPr>
        <w:t>Всего присутствовало</w:t>
      </w:r>
      <w:r>
        <w:rPr>
          <w:rFonts w:eastAsia="Times New Roman"/>
          <w:color w:val="212121"/>
          <w:sz w:val="24"/>
          <w:szCs w:val="24"/>
          <w:lang w:eastAsia="ru-RU"/>
        </w:rPr>
        <w:t>: 60 человек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u w:val="single"/>
          <w:lang w:eastAsia="ru-RU"/>
        </w:rPr>
      </w:pPr>
      <w:r>
        <w:rPr>
          <w:rFonts w:eastAsia="Times New Roman"/>
          <w:color w:val="212121"/>
          <w:sz w:val="24"/>
          <w:szCs w:val="24"/>
          <w:u w:val="single"/>
          <w:lang w:eastAsia="ru-RU"/>
        </w:rPr>
        <w:t>Повестка публичных слушаний: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«Об исполнении бюджета Туркменского муниципального округа Ставропольского края за 2025 год»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u w:val="single"/>
          <w:lang w:eastAsia="ru-RU"/>
        </w:rPr>
        <w:t xml:space="preserve">Слушали: 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«Об исполнении бюджета Туркменского муниципального округа Ставропольского края за 2025 год»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i/>
          <w:i/>
          <w:color w:val="212121"/>
          <w:sz w:val="24"/>
          <w:szCs w:val="24"/>
          <w:lang w:eastAsia="ru-RU"/>
        </w:rPr>
      </w:pPr>
      <w:r>
        <w:rPr>
          <w:rFonts w:eastAsia="Times New Roman"/>
          <w:i/>
          <w:color w:val="212121"/>
          <w:sz w:val="24"/>
          <w:szCs w:val="24"/>
          <w:lang w:eastAsia="ru-RU"/>
        </w:rPr>
        <w:t>Докладчик: Лижапёкова Татьяна Владимировна- начальник финансового управления администрации Туркменского муниципального округа Ставропольского края.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Лижапёкова Т. В. отметила, что главной задачей в отчетном году оставалось обеспечение устойчивости и сбалансированности бюджета Туркменского муниципального округа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Согласно отчету об исполнении бюджета Туркменского муниципального округа (далее – местного бюджета) за 2025 год: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firstLine="709" w:left="0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общий объем доходов поступивших в местный бюджет составил 1 536 517,66 тыс. рублей или 102,18 процентов к уточненным плановым показателям 1 503 732,31 тыс. рублей.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firstLine="709" w:left="0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общий объем произведенных расходов составил 1 472 287,23 тыс. рублей или 98,07% к уточненным годовым плановым назначениям.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Уточненный план по поступлению налоговых и неналоговых доходов за отчетный период исполнен на 111,05 процентов, в бюджет округа дополнительно поступило 26 487,75 тыс.рублей. Первоначальный план исполнен на 113,11  процентов.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План по поступлению безвозмездных поступлений – на 99,96 процентов.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В общем объеме доходов местного бюджета за 2025 год налоговые и неналоговые доходы составили 266150,18 тыс. рублей, и их удельный вес 17,96 процентов, а удельный вес безвозмездных поступлений 82,04% или 1 215 895,29 тыс. рублей.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Налоговые доходы за отчетный период составили 227105,37 тыс.рублей, при плане 203222,18 тыс.рублей, или 111,75%, в том числе: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налог на доходы физических лиц поступило 118730,44 тыс. рублей, что составляет 114,26% от уточненного плана;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сумма единого сельскохозяйственного налога составила 37047,15 тыс. рублей, что оставляет 104,15% плановых назначений;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сумма налога, взимаемого в связи с применением упрощенной системы налогообложения составила 10944,69 тыс.рублей, что составляет 124,57% от уточненного плана;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налог на имущество физических лиц поступил в объеме 5248,98 тыс.рублей, что составляет 103,53% к годовым плановым назначениям;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объем земельного налога составил 25234,58 тыс.рублей, или 102,14% плановых назначений;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государственной пошлины поступило 8954,59 тыс. рублей, или 153,49 % плановых назначений;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акцизы на прямогонный бензин, производимый на территории Российской Федерации поступили в сумме 18795,54 тыс.рублей, при плане 17990,18 тыс.рублей, что составляет 104,48%.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За отчетный период 2025 года поступление неналоговых доходов в местный бюджет составило 3 9044,81 тыс. рублей. в том числе: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доходы от использования имущества при плане 17934,88 тыс. рублей, составили 18038,23 тыс. рублей или 100,58 %;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доходы от оказания платных услуг и компенсаций затрат государства поступили в сумме 18757,11 тыс. рублей, что составляет 110,86% к плановым назначениям;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денежные взыскания (штрафы) поступили в сумме 829,93 тыс. рублей, выполнение плана 2025 года составило 153,00%.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поступление платы за негативное воздействие на окружающую среду составило 32,17 тыс. рублей, что составляет 59,57% к плановым назначениям отчетного периода.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За отчетный период безвозмездные поступления  исполнены в объеме 1 215 895,29 тыс. рублей, при плане 1 216 364,11 тыс.рублей. Наибольший удельный вес из общего объема безвозмездных поступлений составляют дотации – 49,23%, субвенции – 37,41%, субсидии – 12,91% и иные межбюджетные трансферты и прочие безвозмездные поступления- 0,42%.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Годовые плановые назначения по поступлению безвозмездных поступлений  2025 году в целом выполнены на 99,96%, в том числе:</w:t>
      </w:r>
    </w:p>
    <w:tbl>
      <w:tblPr>
        <w:tblW w:w="5000" w:type="pct"/>
        <w:jc w:val="left"/>
        <w:tblInd w:w="149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/>
      </w:tblPr>
      <w:tblGrid>
        <w:gridCol w:w="4200"/>
        <w:gridCol w:w="1942"/>
        <w:gridCol w:w="2009"/>
        <w:gridCol w:w="1344"/>
      </w:tblGrid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План </w:t>
            </w:r>
          </w:p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2025, тыс. рублей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Факт 2025, тыс. рублей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% исполнения 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598 252,00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598 252,00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100,00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Субсидии бюджетам бюджетной системы РФ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156 993,88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156 948,77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99,97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субвенций на выполнение  передаваемых полномочий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455 475,46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454 895,07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99,87 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5 106,96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5 088,88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99,64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1 022,70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1 197,70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117,11 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-486,89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-486,91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100,00 </w:t>
            </w:r>
          </w:p>
        </w:tc>
      </w:tr>
      <w:tr>
        <w:trPr>
          <w:trHeight w:val="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instrText xml:space="preserve"> =SUM(ABOVE)</w:instrTex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separate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t>1216364,11</w: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instrText xml:space="preserve"> =SUM(ABOVE)</w:instrTex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separate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t>1215895,51</w: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99,96</w:t>
            </w:r>
          </w:p>
        </w:tc>
      </w:tr>
    </w:tbl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 xml:space="preserve">Первоначальный бюджет Туркменского муниципального округа на 2025 год утвержден решением Совета Туркменского муниципального округа Ставропольского края «О бюджете Туркменского муниципального округа Ставропольского края на 2025 год и плановый период 2026 и 2027 годов» № 552 от 17.12.2024 года в размере </w:t>
      </w:r>
      <w:r>
        <w:rPr>
          <w:sz w:val="24"/>
          <w:szCs w:val="24"/>
        </w:rPr>
        <w:t>1403069,67 тыс. рублей</w:t>
      </w:r>
      <w:r>
        <w:rPr>
          <w:rFonts w:eastAsia="Times New Roman"/>
          <w:color w:val="212121"/>
          <w:sz w:val="24"/>
          <w:szCs w:val="24"/>
          <w:lang w:eastAsia="ru-RU"/>
        </w:rPr>
        <w:t>. В ходе исполнения бюджета плановые назначения расходной части бюджета увеличились на 98145,07 тыс. рублей и составили 1502214,74 тыс. рублей.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Кассовое исполнение за 2025 год составило 1472287,23 тыс. рублей, что составляет 98,07% к годовым плановым назначениям.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Из общего объема произведенных расходов, расходы за счет средств местного бюджета составили 853729,44 тыс.рублей, федеральных и краевых средств – 618557,79 тыс.рублей.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Экономическая структура кассового исполнения расходов бюджета за отчетный период выглядит следующим образом: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оплата труда и начисления на выплаты по оплате труда – 797717,26 тыс. 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коммунальные услуги – 48951,10 тыс. 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субсидии бюджетным учреждениям – 162051,25 тыс. 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социальное обеспечение – 140596,86 тыс. 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налоги и сборы – 4777,43 тыс.рублей;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капитальные вложения – 1641,71 тыс.рублей;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продукты питания – 39875,94 тыс. рублей;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прочие – 417272,54 тыс. рублей.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В разрезе отраслей функциональная структура кассовых расходов выглядит следующим образом: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tbl>
      <w:tblPr>
        <w:tblW w:w="4750" w:type="pct"/>
        <w:jc w:val="left"/>
        <w:tblInd w:w="577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/>
      </w:tblPr>
      <w:tblGrid>
        <w:gridCol w:w="684"/>
        <w:gridCol w:w="2556"/>
        <w:gridCol w:w="1510"/>
        <w:gridCol w:w="1477"/>
        <w:gridCol w:w="1417"/>
        <w:gridCol w:w="1376"/>
      </w:tblGrid>
      <w:tr>
        <w:trPr>
          <w:trHeight w:val="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86" w:right="-14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"/>
              <w:jc w:val="center"/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план </w:t>
            </w:r>
          </w:p>
          <w:p>
            <w:pPr>
              <w:pStyle w:val="Normal"/>
              <w:ind w:hanging="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2025, тыс. рублей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факт 2025,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% исполнения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удельный вес, % </w:t>
            </w:r>
          </w:p>
        </w:tc>
      </w:tr>
      <w:tr>
        <w:trPr>
          <w:trHeight w:val="205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6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 w:right="-285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01 00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228060,50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217233,11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95,25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14,76 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 w:right="-285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02 00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национальная оборона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2084,34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2084,34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100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0,14 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 w:right="-285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03 00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12482,62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98,13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0,83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 w:right="-285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04 00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национальная экономика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120794,74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112434,53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93,08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7,64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05 00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28" w:left="-131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42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63483,34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42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62232,92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4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4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4,23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06 00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охрана окружающей среды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81,76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07 00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образование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719607,90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712031,57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98,95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48,36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08 00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205238,39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204406,17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99,59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13,88 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10 00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 w:left="-3" w:right="-11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социальная политика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142583,55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83" w:right="-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142056,56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99,63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9,65</w:t>
            </w:r>
          </w:p>
        </w:tc>
      </w:tr>
      <w:tr>
        <w:trPr>
          <w:trHeight w:val="284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7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11 00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 w:left="-3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7825,36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83" w:right="-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96,03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0,51</w:t>
            </w:r>
          </w:p>
        </w:tc>
      </w:tr>
      <w:tr>
        <w:trPr>
          <w:trHeight w:val="284" w:hRule="atLeast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78" w:right="-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instrText xml:space="preserve"> =SUM(ABOVE)</w:instrTex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separate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t>2</w: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0" w:right="-15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instrText xml:space="preserve"> =SUM(ABOVE)</w:instrTex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separate"/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t>1502217,74</w:t>
            </w:r>
            <w:r>
              <w:rPr>
                <w:sz w:val="18"/>
                <w:kern w:val="2"/>
                <w:szCs w:val="18"/>
                <w:bCs/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98,07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7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>-</w:t>
            </w:r>
          </w:p>
        </w:tc>
      </w:tr>
    </w:tbl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«ОБЩЕГОСУДАРСТВЕННЫЕ РАСХОДЫ»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Кассовое исполнение составило 217233,11 тыс. рублей, при плане 228060,50 тыс. рублей, что составляет 95,25%.</w:t>
      </w:r>
    </w:p>
    <w:p>
      <w:pPr>
        <w:pStyle w:val="Normal"/>
        <w:ind w:firstLine="709"/>
        <w:jc w:val="center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«НАЦИОНАЛЬНАЯ ОБОРОНА»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Кассовое исполнение составляет 2084,34 тыс.рублей или 100,00%.</w:t>
      </w:r>
    </w:p>
    <w:p>
      <w:pPr>
        <w:pStyle w:val="Normal"/>
        <w:ind w:firstLine="709"/>
        <w:jc w:val="center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«НАЦИОНАЛЬНАЯ БЕЗОПАСНОСТЬ И ПРАВООХРАНИТЕЛЬНАЯ ДЕЯТЕЛЬНОСТЬ»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Кассовое исполнение составило 12248,94 тыс. рублей, при плане 12482,62 тыс. рублей, что составляет 98,13%.</w:t>
      </w:r>
    </w:p>
    <w:p>
      <w:pPr>
        <w:pStyle w:val="Normal"/>
        <w:ind w:firstLine="709"/>
        <w:jc w:val="center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«НАЦИОНАЛЬНАЯ ЭКОНОМИКА»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Кассовое исполнение при плане 120794,74 тыс. рублей, составило 112434,53 тыс. рублей (93,08%).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Из них расходы по подразделам: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«Сельское хозяйство» - 558,50 тыс.рублей или 97,04%;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«Дорожное хозяйство» - 107421,89 тыс.рублей или 93,52%;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«Другие вопросы в области национальной экономики» - 955,84 тыс. рублей или 91,59 %.</w:t>
      </w:r>
    </w:p>
    <w:p>
      <w:pPr>
        <w:pStyle w:val="Normal"/>
        <w:ind w:firstLine="709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«ЖИЛИЩНО-КОММУНАЛЬНОЕ ХОЗЯЙСТВО»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при плане 63483,34 тыс. рублей, составило 62232,92 тыс. рублей (99,60 %).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Из них расходы по подразделам: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«Благоустройство»- при плановых назначениях 58813,65 тыс. рублей, кассовое исполнение 58690,67 тыс.рублей или 99,79 %;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 Другие вопросы в области жилищно-коммунального хозяйства» - 108,31 тыс. рублей или 47,91 %.</w:t>
      </w:r>
    </w:p>
    <w:p>
      <w:pPr>
        <w:pStyle w:val="Normal"/>
        <w:ind w:firstLine="709" w:left="521" w:right="527"/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 w:right="525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«ОХРАНА ОКРУЖАЮЩЕЙ СРЕДЫ»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составило- 44,15 тыс. рублей, или 81,76%.</w:t>
      </w:r>
    </w:p>
    <w:p>
      <w:pPr>
        <w:pStyle w:val="Normal"/>
        <w:ind w:firstLine="709" w:right="527"/>
        <w:jc w:val="center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rFonts w:eastAsia="Times New Roman"/>
          <w:sz w:val="16"/>
          <w:szCs w:val="16"/>
          <w:highlight w:val="yellow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«ОБРАЗОВАНИЕ»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по данному разделу составило 712031,57 тыс. рублей, при плане 719607,90 тыс. руб. (98,95%).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Из них расходы по подразделам: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«Дошкольное образование» - 173281,11 (99,13%) тыс. рублей;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«Общее образование» - 435648,00 (98,85%) тыс. рублей;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«Дополнительное образование» - 68564,60 (99,30%) тыс. рублей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«Молодежная политика и оздоровление детей» - 382,66 (100%) тыс. рублей;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 w:right="-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«Другие вопросы в области образования» -34155,20  (98,58%) тыс. рублей.</w:t>
      </w:r>
    </w:p>
    <w:p>
      <w:pPr>
        <w:pStyle w:val="Normal"/>
        <w:ind w:firstLine="709" w:left="521" w:right="527"/>
        <w:jc w:val="left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rFonts w:eastAsia="Times New Roman"/>
          <w:sz w:val="16"/>
          <w:szCs w:val="16"/>
          <w:highlight w:val="yellow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«КУЛЬТУРА, КИНЕМАТОГРАФИЯ»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составило- 204406,17 тыс. рублей, или 99,59%.</w:t>
      </w:r>
    </w:p>
    <w:p>
      <w:pPr>
        <w:pStyle w:val="Normal"/>
        <w:ind w:firstLine="709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«СОЦИАЛЬНАЯ ПОЛИТИКА»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по данному разделу составило 99,63%- 142056,56 тыс. рублей.</w:t>
      </w:r>
    </w:p>
    <w:p>
      <w:pPr>
        <w:pStyle w:val="Normal"/>
        <w:ind w:firstLine="709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«ФИЗИЧЕСКАЯ КУЛЬТУРА И СПОРТ»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Расходы на выполнение мероприятий в области «Физическая культура и спорт составили в сумме 7514,94 тыс. рублей, или 96,03% к плановым назначениям.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течение 2025 года был сохранен приоритет по финансовому обеспечению в первоочередном порядке отраслей социального блока (обеспечение деятельности организаций в сфере образования, культуры, предоставление мер социальной поддержки). Всего на отрасли социально-культурной сферы в 2025 году было выделено 1066,01 млн. рублей (в 2023 году – 1026,37 млн. рублей). Доля расходов местного бюджета, направляемых на отрасли социального блока в 2025 году составила 72,4% в общих расходах местного бюджета, что на 1,65% ниже уровня предыдущего года.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Кассовое исполнение местного бюджета в 2025 году осуществлялось в рамках реализации 14 муниципальных программ Туркменского муниципального округа Ставропольского края (далее – муниципальные программы), охватывающих основные сферы (направления) деятельности органов местного самоуправления и подведомственных учреждений, и непрограммных направлений деятельности соответствующих главных распорядителей бюджетных средств:</w:t>
      </w:r>
    </w:p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tbl>
      <w:tblPr>
        <w:tblW w:w="5000" w:type="pct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5528"/>
        <w:gridCol w:w="1273"/>
        <w:gridCol w:w="1559"/>
        <w:gridCol w:w="1135"/>
      </w:tblGrid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firstLine="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firstLine="6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Запланировано</w:t>
            </w:r>
          </w:p>
          <w:p>
            <w:pPr>
              <w:pStyle w:val="Normal"/>
              <w:ind w:firstLine="6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(тыс.руб.)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firstLine="6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Исполнено. (тыс.руб.)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firstLine="6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Исполнение,</w:t>
            </w:r>
          </w:p>
          <w:p>
            <w:pPr>
              <w:pStyle w:val="Normal"/>
              <w:ind w:firstLine="65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(%)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образования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682808,46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right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675313,39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98,90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225087,68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right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224245,47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99,63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998,37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998,37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100,00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транспортной системы и обеспечения безопасности дорожного движения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120440,64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112174,42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93,14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Профилактика правонарушений и защита населения от чрезвычайных ситуаций природного и техногенного характера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13618,41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13291,07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97,60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Экономическое развитие и улучшение инвестиционного климата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13844,31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13554,85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97,91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сельского хозяйства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5538,19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5388,54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97,30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158073,37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157617,00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99,71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Управление имуществом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5864,75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5730,63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97,71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Управление финансами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44892,58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44807,60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99,81</w:t>
            </w:r>
          </w:p>
        </w:tc>
      </w:tr>
      <w:tr>
        <w:trPr>
          <w:trHeight w:val="129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физической культуры и спорта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7805,53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7495,14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96,02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градостроительства и архитектуры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383,69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328,44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85,60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Развитие жилищно-коммунального хозяйства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67206,01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65358,80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97,25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 xml:space="preserve">Формирование современной городской среды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30372,55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30372,55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125280,20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115610,96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92,28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instrText xml:space="preserve"> =SUM(ABOVE)</w:instrText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fldChar w:fldCharType="separate"/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t>1502214,74</w:t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instrText xml:space="preserve"> =SUM(ABOVE)</w:instrText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fldChar w:fldCharType="separate"/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t>1472287,23</w:t>
            </w:r>
            <w:r>
              <w:rPr>
                <w:sz w:val="18"/>
                <w:szCs w:val="18"/>
                <w:rFonts w:eastAsia="Times New Roman"/>
                <w:color w:val="212121"/>
                <w:lang w:eastAsia="ru-RU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/>
                <w:color w:val="21212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212121"/>
                <w:sz w:val="18"/>
                <w:szCs w:val="18"/>
                <w:lang w:eastAsia="ru-RU"/>
              </w:rPr>
              <w:t>98,01</w:t>
            </w:r>
          </w:p>
        </w:tc>
      </w:tr>
    </w:tbl>
    <w:p>
      <w:pPr>
        <w:pStyle w:val="Normal"/>
        <w:ind w:firstLine="709"/>
        <w:rPr>
          <w:rFonts w:eastAsia="Times New Roman"/>
          <w:color w:val="212121"/>
          <w:sz w:val="16"/>
          <w:szCs w:val="16"/>
          <w:lang w:eastAsia="ru-RU"/>
        </w:rPr>
      </w:pPr>
      <w:r>
        <w:rPr>
          <w:rFonts w:eastAsia="Times New Roman"/>
          <w:color w:val="212121"/>
          <w:sz w:val="16"/>
          <w:szCs w:val="16"/>
          <w:lang w:eastAsia="ru-RU"/>
        </w:rPr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На 01.01.2026г. просроченной кредиторской и дебиторской задолженности нет.</w:t>
      </w:r>
    </w:p>
    <w:p>
      <w:pPr>
        <w:pStyle w:val="Normal"/>
        <w:ind w:firstLine="709"/>
        <w:rPr>
          <w:rFonts w:eastAsia="Times New Roman"/>
          <w:color w:val="212121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Муниципальный долг Туркменского муниципального округа отсутствует.</w:t>
      </w:r>
    </w:p>
    <w:p>
      <w:pPr>
        <w:pStyle w:val="Normal"/>
        <w:ind w:firstLine="709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За 2025 год бюджет муниципального округа исполнен с профицитом в сумме 9758,24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тыс.рублей, который сложился за счет перевыполнения плана по доходам.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(26018,93 тыс.рублей).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Общий объем остатков средств бюджета Туркменского муниципального округа по состоянию на 31.12.2025г. составил 59212,62 тыс.рублей, из них краевые средства 0,01 рублей.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212121"/>
          <w:sz w:val="24"/>
          <w:szCs w:val="24"/>
          <w:lang w:eastAsia="ru-RU"/>
        </w:rPr>
        <w:t>По состоянию на 31.12.2025 года в органах местного самоуправления Туркменского муниципального округа (в т.ч. за счет субвенций на исполнение переданных полномочий) числится 174</w:t>
      </w:r>
      <w:r>
        <w:rPr>
          <w:rFonts w:eastAsia="Times New Roman"/>
          <w:sz w:val="24"/>
          <w:szCs w:val="24"/>
          <w:lang w:eastAsia="ru-RU"/>
        </w:rPr>
        <w:t xml:space="preserve"> человек. Фактические затраты на их денежное содержание составили 106078,86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тыс.рублей.</w:t>
      </w:r>
    </w:p>
    <w:p>
      <w:pPr>
        <w:pStyle w:val="Normal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Численность работников муниципальных учреждений Туркменского муниципального округа за 2025 год по состоянию на 01.01.2026 г. составила 1333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человек, фактические затраты на их денежное содержание составляют 605662,39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тыс. рублей.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ходе обсуждения проекта «Отчет об исполнении Туркменского муниципального округа ставропольского края  за 2025 год» замечаний и предложений не поступило.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результате обсуждения публичных слушаний участники</w:t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 Е Ш И Л И: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Доклад начальника финансового управления администрации Туркменского муниципального округа Лижапёковой Т.В. по проекту «Об исполнении бюджета Туркменского муниципального округа Ставропольского края за 2025 год» принять к сведению.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firstLine="709" w:left="0"/>
        <w:jc w:val="both"/>
        <w:rPr/>
      </w:pPr>
      <w:r>
        <w:rPr/>
        <w:t>Рекомендовать Совету Туркменского муниципального округа на очередном заседание в мае 2026 года утвердить проект «Об исполнении бюджета Туркменского муниципального округа Ставропольского края за 2025 год».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3. Разместить протокол публичных слушаний на официальном сайте администрации Туркменского муниципального округа Ставропольского края в информационно-телекоммуникационной сети «Интернет» в составе материалов к проекту решения Совета Туркменского муниципального округа Ставропольского края «Об исполнении бюджета Туркменского муниципального округа Ставропольского края за 2025 год».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4. Обнародовать заключение о результатах публичных слушаний.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10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«за» - 60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«против» - нет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ПРИНЯТО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76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16"/>
        <w:gridCol w:w="4359"/>
      </w:tblGrid>
      <w:tr>
        <w:trPr/>
        <w:tc>
          <w:tcPr>
            <w:tcW w:w="5316" w:type="dxa"/>
            <w:tcBorders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Председательствующий на публичных </w:t>
            </w:r>
          </w:p>
          <w:p>
            <w:pPr>
              <w:pStyle w:val="Normal"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слушаниях, Председатель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 комиссии Совета Туркменского муниципального округа Ставропольского края по бюджету, экономической политике, налогам, собственности и инвестициям</w:t>
            </w:r>
          </w:p>
        </w:tc>
        <w:tc>
          <w:tcPr>
            <w:tcW w:w="4359" w:type="dxa"/>
            <w:tcBorders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О.В.Будко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560" w:right="850" w:gutter="0" w:header="0" w:top="851" w:footer="0" w:bottom="709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boto-Regular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5710"/>
    <w:pPr>
      <w:widowControl/>
      <w:bidi w:val="0"/>
      <w:spacing w:before="0" w:after="0"/>
      <w:ind w:firstLine="72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207a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</w:rPr>
  </w:style>
  <w:style w:type="paragraph" w:styleId="Heading2">
    <w:name w:val="heading 2"/>
    <w:basedOn w:val="Normal"/>
    <w:link w:val="2"/>
    <w:uiPriority w:val="9"/>
    <w:qFormat/>
    <w:rsid w:val="001b3435"/>
    <w:pPr>
      <w:spacing w:beforeAutospacing="1" w:afterAutospacing="1"/>
      <w:ind w:hanging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1b3435"/>
    <w:rPr>
      <w:rFonts w:eastAsia="Times New Roman"/>
      <w:b/>
      <w:bCs/>
      <w:sz w:val="36"/>
      <w:szCs w:val="36"/>
      <w:lang w:eastAsia="ru-RU"/>
    </w:rPr>
  </w:style>
  <w:style w:type="character" w:styleId="Style12" w:customStyle="1">
    <w:name w:val="Абзац списка Знак"/>
    <w:link w:val="ListParagraph"/>
    <w:uiPriority w:val="34"/>
    <w:qFormat/>
    <w:locked/>
    <w:rsid w:val="00552bcb"/>
    <w:rPr>
      <w:rFonts w:eastAsia="Times New Roman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8207a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1b3435"/>
    <w:pPr>
      <w:spacing w:beforeAutospacing="1" w:afterAutospacing="1"/>
      <w:ind w:hanging="0"/>
      <w:jc w:val="left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2"/>
    <w:uiPriority w:val="34"/>
    <w:qFormat/>
    <w:rsid w:val="00552bcb"/>
    <w:pPr>
      <w:spacing w:before="0" w:after="0"/>
      <w:ind w:hanging="0" w:left="720"/>
      <w:contextualSpacing/>
      <w:jc w:val="left"/>
    </w:pPr>
    <w:rPr>
      <w:rFonts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LibreOffice/24.8.7.2$Linux_X86_64 LibreOffice_project/480$Build-2</Application>
  <AppVersion>15.0000</AppVersion>
  <Pages>6</Pages>
  <Words>1820</Words>
  <Characters>12717</Characters>
  <CharactersWithSpaces>14399</CharactersWithSpaces>
  <Paragraphs>296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2023-04-04T08:30:00Z</dcterms:created>
  <dc:creator>СНП</dc:creator>
  <dc:description/>
  <dc:language>ru-RU</dc:language>
  <cp:lastModifiedBy/>
  <cp:lastPrinted>2025-02-04T14:51:00Z</cp:lastPrinted>
  <dcterms:modified xsi:type="dcterms:W3CDTF">2026-03-30T15:48:53Z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