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Отчет по Плану мероприятий </w:t>
      </w:r>
    </w:p>
    <w:p>
      <w:pPr>
        <w:pStyle w:val="Normal"/>
        <w:spacing w:lineRule="auto" w:line="240" w:before="0" w:after="0"/>
        <w:jc w:val="center"/>
        <w:rPr/>
      </w:pPr>
      <w:r>
        <w:rPr>
          <w:rFonts w:cs="Times New Roman" w:ascii="Times New Roman" w:hAnsi="Times New Roman"/>
          <w:sz w:val="28"/>
          <w:szCs w:val="28"/>
        </w:rPr>
        <w:t>по реализации Стратегии социально-экономического развития  Туркменского муниципального округа Ставропольского края до 2035 года, утвержденной решением Совета Туркменского  муниципального округа Ставропольского края от            24 сентября 2024 г. № 530 «Об утверждении Стратегии социально-экономического развития Туркменского муниципального округа Ставропольского края до 2035 года</w:t>
      </w:r>
      <w:r>
        <w:rPr>
          <w:rFonts w:cs="Times New Roman" w:ascii="Times New Roman" w:hAnsi="Times New Roman"/>
          <w:b/>
          <w:sz w:val="28"/>
          <w:szCs w:val="28"/>
        </w:rPr>
        <w:t xml:space="preserve"> </w:t>
      </w:r>
      <w:r>
        <w:rPr>
          <w:rFonts w:cs="Times New Roman" w:ascii="Times New Roman" w:hAnsi="Times New Roman"/>
          <w:b w:val="false"/>
          <w:bCs w:val="false"/>
          <w:sz w:val="28"/>
          <w:szCs w:val="28"/>
        </w:rPr>
        <w:t>за 2025 год</w:t>
      </w:r>
    </w:p>
    <w:p>
      <w:pPr>
        <w:pStyle w:val="msonormalmailrucssattributepostfix"/>
        <w:shd w:val="clear" w:fill="FFFFFF"/>
        <w:spacing w:lineRule="atLeast" w:line="200" w:before="0" w:after="0"/>
        <w:ind w:firstLine="567" w:right="0"/>
        <w:jc w:val="both"/>
        <w:rPr>
          <w:b/>
        </w:rPr>
      </w:pPr>
      <w:r>
        <w:rPr>
          <w:b/>
        </w:rPr>
      </w:r>
    </w:p>
    <w:tbl>
      <w:tblPr>
        <w:tblW w:w="15355" w:type="dxa"/>
        <w:jc w:val="left"/>
        <w:tblInd w:w="-418" w:type="dxa"/>
        <w:tblLayout w:type="fixed"/>
        <w:tblCellMar>
          <w:top w:w="0" w:type="dxa"/>
          <w:left w:w="108" w:type="dxa"/>
          <w:bottom w:w="0" w:type="dxa"/>
          <w:right w:w="108" w:type="dxa"/>
        </w:tblCellMar>
      </w:tblPr>
      <w:tblGrid>
        <w:gridCol w:w="726"/>
        <w:gridCol w:w="2863"/>
        <w:gridCol w:w="1840"/>
        <w:gridCol w:w="256"/>
        <w:gridCol w:w="1507"/>
        <w:gridCol w:w="2349"/>
        <w:gridCol w:w="951"/>
        <w:gridCol w:w="1292"/>
        <w:gridCol w:w="3569"/>
      </w:tblGrid>
      <w:tr>
        <w:trPr/>
        <w:tc>
          <w:tcPr>
            <w:tcW w:w="726" w:type="dxa"/>
            <w:vMerge w:val="restart"/>
            <w:tcBorders>
              <w:top w:val="single" w:sz="4" w:space="0" w:color="000000"/>
              <w:left w:val="single" w:sz="4" w:space="0" w:color="000000"/>
              <w:bottom w:val="single" w:sz="4" w:space="0" w:color="000000"/>
              <w:right w:val="single" w:sz="4" w:space="0" w:color="000000"/>
            </w:tcBorders>
          </w:tcPr>
          <w:p>
            <w:pPr>
              <w:pStyle w:val="ConsPlusNormal"/>
              <w:spacing w:lineRule="exact" w:line="240" w:before="0" w:after="200"/>
              <w:jc w:val="center"/>
              <w:rPr/>
            </w:pPr>
            <w:r>
              <w:rPr>
                <w:sz w:val="22"/>
                <w:szCs w:val="22"/>
              </w:rPr>
              <w:t>№</w:t>
            </w:r>
            <w:r>
              <w:rPr>
                <w:sz w:val="22"/>
                <w:szCs w:val="22"/>
              </w:rPr>
              <w:t>п/п</w:t>
            </w:r>
          </w:p>
        </w:tc>
        <w:tc>
          <w:tcPr>
            <w:tcW w:w="2863" w:type="dxa"/>
            <w:vMerge w:val="restart"/>
            <w:tcBorders>
              <w:top w:val="single" w:sz="4" w:space="0" w:color="000000"/>
              <w:left w:val="single" w:sz="4" w:space="0" w:color="000000"/>
              <w:bottom w:val="single" w:sz="4" w:space="0" w:color="000000"/>
              <w:right w:val="single" w:sz="4" w:space="0" w:color="000000"/>
            </w:tcBorders>
          </w:tcPr>
          <w:p>
            <w:pPr>
              <w:pStyle w:val="ConsPlusNormal"/>
              <w:spacing w:lineRule="exact" w:line="240" w:before="0" w:after="200"/>
              <w:jc w:val="center"/>
              <w:rPr>
                <w:sz w:val="22"/>
                <w:szCs w:val="22"/>
              </w:rPr>
            </w:pPr>
            <w:r>
              <w:rPr>
                <w:sz w:val="22"/>
                <w:szCs w:val="22"/>
              </w:rPr>
              <w:t>Наименование мероприятия</w:t>
            </w:r>
          </w:p>
        </w:tc>
        <w:tc>
          <w:tcPr>
            <w:tcW w:w="2096"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spacing w:lineRule="exact" w:line="240" w:before="0" w:after="200"/>
              <w:jc w:val="center"/>
              <w:rPr/>
            </w:pPr>
            <w:r>
              <w:rPr>
                <w:sz w:val="22"/>
                <w:szCs w:val="22"/>
              </w:rPr>
              <w:t xml:space="preserve">Наименование </w:t>
            </w:r>
            <w:r>
              <w:rPr>
                <w:sz w:val="22"/>
                <w:szCs w:val="22"/>
                <w:lang w:eastAsia="ru-RU"/>
              </w:rPr>
              <w:t xml:space="preserve"> муниципальной программы </w:t>
            </w:r>
            <w:r>
              <w:rPr>
                <w:sz w:val="22"/>
                <w:szCs w:val="22"/>
              </w:rPr>
              <w:t>Туркменского муниципального округа Ставропольского края, содержащей мероприятие (при наличии)</w:t>
            </w:r>
          </w:p>
        </w:tc>
        <w:tc>
          <w:tcPr>
            <w:tcW w:w="1507" w:type="dxa"/>
            <w:vMerge w:val="restart"/>
            <w:tcBorders>
              <w:top w:val="single" w:sz="4" w:space="0" w:color="000000"/>
              <w:left w:val="single" w:sz="4" w:space="0" w:color="000000"/>
              <w:bottom w:val="single" w:sz="4" w:space="0" w:color="000000"/>
              <w:right w:val="single" w:sz="4" w:space="0" w:color="000000"/>
            </w:tcBorders>
          </w:tcPr>
          <w:p>
            <w:pPr>
              <w:pStyle w:val="ConsPlusNormal"/>
              <w:spacing w:lineRule="exact" w:line="240" w:before="0" w:after="200"/>
              <w:jc w:val="center"/>
              <w:rPr>
                <w:sz w:val="22"/>
                <w:szCs w:val="22"/>
              </w:rPr>
            </w:pPr>
            <w:r>
              <w:rPr>
                <w:sz w:val="22"/>
                <w:szCs w:val="22"/>
              </w:rPr>
              <w:t>Ответственный исполнитель мероприятия</w:t>
            </w:r>
          </w:p>
        </w:tc>
        <w:tc>
          <w:tcPr>
            <w:tcW w:w="4592" w:type="dxa"/>
            <w:gridSpan w:val="3"/>
            <w:tcBorders>
              <w:top w:val="single" w:sz="4" w:space="0" w:color="000000"/>
              <w:left w:val="single" w:sz="4" w:space="0" w:color="000000"/>
              <w:bottom w:val="single" w:sz="4" w:space="0" w:color="000000"/>
            </w:tcBorders>
          </w:tcPr>
          <w:p>
            <w:pPr>
              <w:pStyle w:val="ConsPlusNormal"/>
              <w:spacing w:lineRule="exact" w:line="240" w:before="0" w:after="200"/>
              <w:ind w:firstLine="204" w:left="-204" w:right="0"/>
              <w:jc w:val="center"/>
              <w:rPr>
                <w:lang w:eastAsia="ru-RU"/>
              </w:rPr>
            </w:pPr>
            <w:r>
              <w:rPr>
                <w:lang w:eastAsia="ru-RU"/>
              </w:rPr>
              <w:t>Ожидаемый результат мероприятия</w:t>
            </w:r>
          </w:p>
        </w:tc>
        <w:tc>
          <w:tcPr>
            <w:tcW w:w="3569" w:type="dxa"/>
            <w:vMerge w:val="restart"/>
            <w:tcBorders>
              <w:top w:val="single" w:sz="4" w:space="0" w:color="000000"/>
              <w:left w:val="single" w:sz="4" w:space="0" w:color="000000"/>
              <w:bottom w:val="single" w:sz="4" w:space="0" w:color="000000"/>
              <w:right w:val="single" w:sz="4" w:space="0" w:color="000000"/>
            </w:tcBorders>
          </w:tcPr>
          <w:p>
            <w:pPr>
              <w:pStyle w:val="ConsPlusNormal"/>
              <w:snapToGrid w:val="false"/>
              <w:spacing w:lineRule="exact" w:line="240" w:before="0" w:after="200"/>
              <w:jc w:val="center"/>
              <w:rPr/>
            </w:pPr>
            <w:r>
              <w:rPr/>
              <w:t>Фактическое значение за 2025 год. Достигнутые результаты за 2025год.</w:t>
            </w:r>
          </w:p>
        </w:tc>
      </w:tr>
      <w:tr>
        <w:trPr/>
        <w:tc>
          <w:tcPr>
            <w:tcW w:w="726" w:type="dxa"/>
            <w:vMerge w:val="continue"/>
            <w:tcBorders>
              <w:top w:val="single" w:sz="4" w:space="0" w:color="000000"/>
              <w:left w:val="single" w:sz="4" w:space="0" w:color="000000"/>
              <w:bottom w:val="single" w:sz="4" w:space="0" w:color="000000"/>
              <w:right w:val="single" w:sz="4" w:space="0" w:color="000000"/>
            </w:tcBorders>
          </w:tcPr>
          <w:p>
            <w:pPr>
              <w:pStyle w:val="ConsPlusNormal"/>
              <w:snapToGrid w:val="false"/>
              <w:spacing w:lineRule="exact" w:line="240" w:before="0" w:after="200"/>
              <w:jc w:val="center"/>
              <w:rPr>
                <w:sz w:val="22"/>
                <w:szCs w:val="22"/>
                <w:lang w:eastAsia="ru-RU"/>
              </w:rPr>
            </w:pPr>
            <w:r>
              <w:rPr>
                <w:sz w:val="22"/>
                <w:szCs w:val="22"/>
                <w:lang w:eastAsia="ru-RU"/>
              </w:rPr>
            </w:r>
          </w:p>
        </w:tc>
        <w:tc>
          <w:tcPr>
            <w:tcW w:w="2863" w:type="dxa"/>
            <w:vMerge w:val="continue"/>
            <w:tcBorders>
              <w:top w:val="single" w:sz="4" w:space="0" w:color="000000"/>
              <w:left w:val="single" w:sz="4" w:space="0" w:color="000000"/>
              <w:bottom w:val="single" w:sz="4" w:space="0" w:color="000000"/>
              <w:right w:val="single" w:sz="4" w:space="0" w:color="000000"/>
            </w:tcBorders>
          </w:tcPr>
          <w:p>
            <w:pPr>
              <w:pStyle w:val="ConsPlusNormal"/>
              <w:snapToGrid w:val="false"/>
              <w:spacing w:lineRule="exact" w:line="240" w:before="0" w:after="200"/>
              <w:jc w:val="center"/>
              <w:rPr>
                <w:sz w:val="22"/>
                <w:szCs w:val="22"/>
                <w:lang w:eastAsia="ru-RU"/>
              </w:rPr>
            </w:pPr>
            <w:r>
              <w:rPr>
                <w:sz w:val="22"/>
                <w:szCs w:val="22"/>
                <w:lang w:eastAsia="ru-RU"/>
              </w:rPr>
            </w:r>
          </w:p>
        </w:tc>
        <w:tc>
          <w:tcPr>
            <w:tcW w:w="2096"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napToGrid w:val="false"/>
              <w:spacing w:lineRule="exact" w:line="240" w:before="0" w:after="200"/>
              <w:jc w:val="center"/>
              <w:rPr>
                <w:sz w:val="22"/>
                <w:szCs w:val="22"/>
                <w:lang w:eastAsia="ru-RU"/>
              </w:rPr>
            </w:pPr>
            <w:r>
              <w:rPr>
                <w:sz w:val="22"/>
                <w:szCs w:val="22"/>
                <w:lang w:eastAsia="ru-RU"/>
              </w:rPr>
            </w:r>
          </w:p>
        </w:tc>
        <w:tc>
          <w:tcPr>
            <w:tcW w:w="1507" w:type="dxa"/>
            <w:vMerge w:val="continue"/>
            <w:tcBorders>
              <w:top w:val="single" w:sz="4" w:space="0" w:color="000000"/>
              <w:left w:val="single" w:sz="4" w:space="0" w:color="000000"/>
              <w:bottom w:val="single" w:sz="4" w:space="0" w:color="000000"/>
              <w:right w:val="single" w:sz="4" w:space="0" w:color="000000"/>
            </w:tcBorders>
          </w:tcPr>
          <w:p>
            <w:pPr>
              <w:pStyle w:val="ConsPlusNormal"/>
              <w:snapToGrid w:val="false"/>
              <w:spacing w:lineRule="exact" w:line="240" w:before="0" w:after="200"/>
              <w:jc w:val="center"/>
              <w:rPr>
                <w:sz w:val="22"/>
                <w:szCs w:val="22"/>
                <w:lang w:eastAsia="ru-RU"/>
              </w:rPr>
            </w:pPr>
            <w:r>
              <w:rPr>
                <w:sz w:val="22"/>
                <w:szCs w:val="22"/>
                <w:lang w:eastAsia="ru-RU"/>
              </w:rPr>
            </w:r>
          </w:p>
        </w:tc>
        <w:tc>
          <w:tcPr>
            <w:tcW w:w="2349" w:type="dxa"/>
            <w:tcBorders>
              <w:left w:val="single" w:sz="4" w:space="0" w:color="000000"/>
              <w:bottom w:val="single" w:sz="4" w:space="0" w:color="000000"/>
              <w:right w:val="single" w:sz="4" w:space="0" w:color="000000"/>
            </w:tcBorders>
          </w:tcPr>
          <w:p>
            <w:pPr>
              <w:pStyle w:val="ConsPlusNormal"/>
              <w:spacing w:lineRule="exact" w:line="240" w:before="0" w:after="200"/>
              <w:jc w:val="center"/>
              <w:rPr/>
            </w:pPr>
            <w:r>
              <w:rPr/>
              <w:t>Наименование показателя реализации стратегии</w:t>
            </w:r>
          </w:p>
        </w:tc>
        <w:tc>
          <w:tcPr>
            <w:tcW w:w="951" w:type="dxa"/>
            <w:tcBorders>
              <w:left w:val="single" w:sz="4" w:space="0" w:color="000000"/>
              <w:bottom w:val="single" w:sz="4" w:space="0" w:color="000000"/>
              <w:right w:val="single" w:sz="4" w:space="0" w:color="000000"/>
            </w:tcBorders>
          </w:tcPr>
          <w:p>
            <w:pPr>
              <w:pStyle w:val="ConsPlusNormal"/>
              <w:spacing w:lineRule="exact" w:line="240" w:before="0" w:after="200"/>
              <w:jc w:val="center"/>
              <w:rPr/>
            </w:pPr>
            <w:r>
              <w:rPr/>
              <w:t>Единица измерения</w:t>
            </w:r>
          </w:p>
        </w:tc>
        <w:tc>
          <w:tcPr>
            <w:tcW w:w="1292" w:type="dxa"/>
            <w:tcBorders>
              <w:left w:val="single" w:sz="4" w:space="0" w:color="000000"/>
              <w:bottom w:val="single" w:sz="4" w:space="0" w:color="000000"/>
            </w:tcBorders>
          </w:tcPr>
          <w:p>
            <w:pPr>
              <w:pStyle w:val="ConsPlusNormal"/>
              <w:spacing w:lineRule="exact" w:line="240" w:before="0" w:after="200"/>
              <w:jc w:val="center"/>
              <w:rPr/>
            </w:pPr>
            <w:r>
              <w:rPr/>
              <w:t>Плановое значение показателя реализации стратегии на 2025год</w:t>
            </w:r>
          </w:p>
        </w:tc>
        <w:tc>
          <w:tcPr>
            <w:tcW w:w="3569" w:type="dxa"/>
            <w:vMerge w:val="continue"/>
            <w:tcBorders>
              <w:top w:val="single" w:sz="4" w:space="0" w:color="000000"/>
              <w:left w:val="single" w:sz="4" w:space="0" w:color="000000"/>
              <w:bottom w:val="single" w:sz="4" w:space="0" w:color="000000"/>
              <w:right w:val="single" w:sz="4" w:space="0" w:color="000000"/>
            </w:tcBorders>
          </w:tcPr>
          <w:p>
            <w:pPr>
              <w:pStyle w:val="ConsPlusNormal"/>
              <w:snapToGrid w:val="false"/>
              <w:spacing w:lineRule="exact" w:line="240" w:before="0" w:after="200"/>
              <w:jc w:val="center"/>
              <w:rPr/>
            </w:pPr>
            <w:r>
              <w:rPr/>
            </w:r>
          </w:p>
        </w:tc>
      </w:tr>
      <w:tr>
        <w:trPr/>
        <w:tc>
          <w:tcPr>
            <w:tcW w:w="15353" w:type="dxa"/>
            <w:gridSpan w:val="9"/>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lang w:eastAsia="ja-JP"/>
              </w:rPr>
            </w:pPr>
            <w:r>
              <w:rPr>
                <w:rFonts w:cs="Times New Roman" w:ascii="Times New Roman" w:hAnsi="Times New Roman"/>
                <w:b/>
                <w:bCs/>
                <w:lang w:eastAsia="ja-JP"/>
              </w:rPr>
              <w:t>I этап реализации Стратегии социально-экономического развития Туркменского муниципального округа Ставропольского края до 2035 года</w:t>
            </w:r>
          </w:p>
          <w:p>
            <w:pPr>
              <w:pStyle w:val="Normal"/>
              <w:spacing w:lineRule="auto" w:line="240" w:before="0" w:after="0"/>
              <w:jc w:val="center"/>
              <w:rPr>
                <w:rFonts w:ascii="Times New Roman" w:hAnsi="Times New Roman" w:cs="Times New Roman"/>
                <w:b/>
                <w:bCs/>
                <w:lang w:eastAsia="ja-JP"/>
              </w:rPr>
            </w:pPr>
            <w:r>
              <w:rPr>
                <w:rFonts w:cs="Times New Roman" w:ascii="Times New Roman" w:hAnsi="Times New Roman"/>
                <w:b/>
                <w:bCs/>
                <w:lang w:eastAsia="ja-JP"/>
              </w:rPr>
              <w:t>(2024-2026 годы)</w:t>
            </w:r>
          </w:p>
        </w:tc>
      </w:tr>
      <w:tr>
        <w:trPr/>
        <w:tc>
          <w:tcPr>
            <w:tcW w:w="15353" w:type="dxa"/>
            <w:gridSpan w:val="9"/>
            <w:tcBorders>
              <w:left w:val="single" w:sz="4" w:space="0" w:color="000000"/>
              <w:bottom w:val="single" w:sz="4" w:space="0" w:color="000000"/>
              <w:right w:val="single" w:sz="4" w:space="0" w:color="000000"/>
            </w:tcBorders>
          </w:tcPr>
          <w:p>
            <w:pPr>
              <w:pStyle w:val="Style15"/>
              <w:spacing w:lineRule="auto" w:line="240" w:before="0" w:after="200"/>
              <w:ind w:hanging="0" w:left="0" w:right="0"/>
              <w:jc w:val="center"/>
              <w:rPr>
                <w:rFonts w:eastAsia=""/>
                <w:b/>
                <w:bCs/>
                <w:sz w:val="22"/>
                <w:szCs w:val="22"/>
                <w:lang w:eastAsia="ru-RU"/>
              </w:rPr>
            </w:pPr>
            <w:r>
              <w:rPr>
                <w:rFonts w:eastAsia=""/>
                <w:b/>
                <w:bCs/>
                <w:sz w:val="22"/>
                <w:szCs w:val="22"/>
                <w:lang w:eastAsia="ru-RU"/>
              </w:rPr>
              <w:t>Цель. Создание нового качества жизни в комфортной среде проживания и развитие конкурентоспособной и инновационной экономики</w:t>
            </w:r>
          </w:p>
        </w:tc>
      </w:tr>
      <w:tr>
        <w:trPr/>
        <w:tc>
          <w:tcPr>
            <w:tcW w:w="15353" w:type="dxa"/>
            <w:gridSpan w:val="9"/>
            <w:tcBorders>
              <w:left w:val="single" w:sz="4" w:space="0" w:color="000000"/>
              <w:bottom w:val="single" w:sz="4" w:space="0" w:color="000000"/>
              <w:right w:val="single" w:sz="4" w:space="0" w:color="000000"/>
            </w:tcBorders>
          </w:tcPr>
          <w:p>
            <w:pPr>
              <w:pStyle w:val="Normal"/>
              <w:spacing w:lineRule="auto" w:line="240" w:before="0" w:after="0"/>
              <w:ind w:firstLine="709" w:right="0"/>
              <w:jc w:val="center"/>
              <w:rPr>
                <w:rFonts w:ascii="Times New Roman" w:hAnsi="Times New Roman" w:eastAsia="" w:cs="Times New Roman"/>
                <w:b/>
                <w:bCs/>
                <w:lang w:eastAsia="ru-RU"/>
              </w:rPr>
            </w:pPr>
            <w:r>
              <w:rPr>
                <w:rFonts w:eastAsia="" w:cs="Times New Roman" w:ascii="Times New Roman" w:hAnsi="Times New Roman"/>
                <w:b/>
                <w:bCs/>
                <w:lang w:eastAsia="ru-RU"/>
              </w:rPr>
              <w:t>Задача 1. Развитие социальной сферы, благоприятной для реализации  человеческого потенциала</w:t>
            </w:r>
          </w:p>
        </w:tc>
      </w:tr>
      <w:tr>
        <w:trPr/>
        <w:tc>
          <w:tcPr>
            <w:tcW w:w="15353" w:type="dxa"/>
            <w:gridSpan w:val="9"/>
            <w:tcBorders>
              <w:left w:val="single" w:sz="4" w:space="0" w:color="000000"/>
              <w:bottom w:val="single" w:sz="4" w:space="0" w:color="000000"/>
              <w:right w:val="single" w:sz="4" w:space="0" w:color="000000"/>
            </w:tcBorders>
          </w:tcPr>
          <w:p>
            <w:pPr>
              <w:pStyle w:val="Normal"/>
              <w:spacing w:before="0" w:after="200"/>
              <w:jc w:val="left"/>
              <w:rPr>
                <w:rFonts w:eastAsia="" w:cs="Times New Roman"/>
                <w:b/>
                <w:bCs/>
                <w:sz w:val="22"/>
                <w:szCs w:val="22"/>
                <w:lang w:eastAsia="ru-RU"/>
              </w:rPr>
            </w:pPr>
            <w:r>
              <w:rPr>
                <w:rFonts w:eastAsia="" w:cs="Times New Roman" w:ascii="Times New Roman" w:hAnsi="Times New Roman"/>
                <w:b/>
                <w:bCs/>
                <w:color w:val="000000"/>
                <w:sz w:val="22"/>
                <w:szCs w:val="22"/>
                <w:lang w:eastAsia="ru-RU"/>
              </w:rPr>
              <w:t>1.1. Улучшение демографической ситуации</w:t>
            </w:r>
          </w:p>
        </w:tc>
      </w:tr>
      <w:tr>
        <w:trPr>
          <w:trHeight w:val="557" w:hRule="atLeast"/>
        </w:trPr>
        <w:tc>
          <w:tcPr>
            <w:tcW w:w="726" w:type="dxa"/>
            <w:tcBorders>
              <w:left w:val="single" w:sz="4" w:space="0" w:color="000000"/>
              <w:bottom w:val="single" w:sz="4" w:space="0" w:color="000000"/>
              <w:right w:val="single" w:sz="4" w:space="0" w:color="000000"/>
            </w:tcBorders>
          </w:tcPr>
          <w:p>
            <w:pPr>
              <w:pStyle w:val="ConsPlusNormal"/>
              <w:spacing w:lineRule="exact" w:line="240" w:before="0" w:after="200"/>
              <w:jc w:val="center"/>
              <w:rPr>
                <w:sz w:val="22"/>
                <w:szCs w:val="22"/>
              </w:rPr>
            </w:pPr>
            <w:r>
              <w:rPr>
                <w:sz w:val="22"/>
                <w:szCs w:val="22"/>
              </w:rPr>
              <w:t>1.1.1.</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Увеличение продолжительности жизни населения округа за счет улучшения качества окружающей среды и условий труда, повышения доходов насе</w:t>
              <w:softHyphen/>
              <w:t>ления</w:t>
            </w:r>
          </w:p>
        </w:tc>
      </w:tr>
      <w:tr>
        <w:trPr/>
        <w:tc>
          <w:tcPr>
            <w:tcW w:w="726" w:type="dxa"/>
            <w:tcBorders>
              <w:left w:val="single" w:sz="4" w:space="0" w:color="000000"/>
              <w:bottom w:val="single" w:sz="4" w:space="0" w:color="000000"/>
              <w:right w:val="single" w:sz="4" w:space="0" w:color="000000"/>
            </w:tcBorders>
          </w:tcPr>
          <w:p>
            <w:pPr>
              <w:pStyle w:val="ConsPlusNormal"/>
              <w:spacing w:lineRule="exact" w:line="240" w:before="0" w:after="200"/>
              <w:jc w:val="center"/>
              <w:rPr>
                <w:sz w:val="22"/>
                <w:szCs w:val="22"/>
              </w:rPr>
            </w:pPr>
            <w:r>
              <w:rPr>
                <w:sz w:val="22"/>
                <w:szCs w:val="22"/>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rPr>
            </w:pPr>
            <w:r>
              <w:rPr>
                <w:rFonts w:ascii="Times New Roman" w:hAnsi="Times New Roman"/>
              </w:rPr>
              <w:t>Предоставление мер социальной поддержки семьям при рождении детей в рамках национального проекта «Семья» регионального проекта «Многодетная семья»</w:t>
            </w:r>
          </w:p>
        </w:tc>
        <w:tc>
          <w:tcPr>
            <w:tcW w:w="2096"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«Социальная поддержка граждан»</w:t>
            </w:r>
          </w:p>
        </w:tc>
        <w:tc>
          <w:tcPr>
            <w:tcW w:w="1507"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труда и социальной защиты населения администрации Туркменского муниципального округа Ставропольского края (далее — УТСЗН, АТМО СК соответственно)</w:t>
            </w:r>
          </w:p>
        </w:tc>
        <w:tc>
          <w:tcPr>
            <w:tcW w:w="2349" w:type="dxa"/>
            <w:tcBorders>
              <w:left w:val="single" w:sz="4" w:space="0" w:color="000000"/>
              <w:bottom w:val="single" w:sz="4" w:space="0" w:color="000000"/>
              <w:right w:val="single" w:sz="4" w:space="0" w:color="000000"/>
            </w:tcBorders>
          </w:tcPr>
          <w:p>
            <w:pPr>
              <w:pStyle w:val="ConsPlusNormal"/>
              <w:spacing w:lineRule="exact" w:line="240" w:before="0" w:after="200"/>
              <w:jc w:val="center"/>
              <w:rPr>
                <w:rFonts w:ascii="Times New Roman" w:hAnsi="Times New Roman" w:cs="Times New Roman"/>
                <w:sz w:val="22"/>
                <w:szCs w:val="22"/>
              </w:rPr>
            </w:pPr>
            <w:r>
              <w:rPr>
                <w:rFonts w:cs="Times New Roman"/>
                <w:sz w:val="22"/>
                <w:szCs w:val="22"/>
              </w:rPr>
              <w:t>x</w:t>
            </w:r>
          </w:p>
        </w:tc>
        <w:tc>
          <w:tcPr>
            <w:tcW w:w="951" w:type="dxa"/>
            <w:tcBorders>
              <w:left w:val="single" w:sz="4" w:space="0" w:color="000000"/>
              <w:bottom w:val="single" w:sz="4" w:space="0" w:color="000000"/>
              <w:right w:val="single" w:sz="4" w:space="0" w:color="000000"/>
            </w:tcBorders>
          </w:tcPr>
          <w:p>
            <w:pPr>
              <w:pStyle w:val="ConsPlusNormal"/>
              <w:spacing w:lineRule="exact" w:line="240" w:before="0" w:after="200"/>
              <w:jc w:val="center"/>
              <w:rPr>
                <w:rFonts w:ascii="Times New Roman" w:hAnsi="Times New Roman" w:cs="Times New Roman"/>
                <w:sz w:val="22"/>
                <w:szCs w:val="22"/>
              </w:rPr>
            </w:pPr>
            <w:r>
              <w:rPr>
                <w:rFonts w:cs="Times New Roman"/>
                <w:sz w:val="22"/>
                <w:szCs w:val="22"/>
              </w:rPr>
              <w:t>x</w:t>
            </w:r>
          </w:p>
        </w:tc>
        <w:tc>
          <w:tcPr>
            <w:tcW w:w="1292" w:type="dxa"/>
            <w:tcBorders>
              <w:left w:val="single" w:sz="4" w:space="0" w:color="000000"/>
              <w:bottom w:val="single" w:sz="4" w:space="0" w:color="000000"/>
            </w:tcBorders>
          </w:tcPr>
          <w:p>
            <w:pPr>
              <w:pStyle w:val="ConsPlusNormal"/>
              <w:spacing w:lineRule="exact" w:line="240" w:before="0" w:after="200"/>
              <w:jc w:val="center"/>
              <w:rPr>
                <w:rFonts w:ascii="Times New Roman" w:hAnsi="Times New Roman" w:cs="Times New Roman"/>
                <w:sz w:val="22"/>
                <w:szCs w:val="22"/>
              </w:rPr>
            </w:pPr>
            <w:r>
              <w:rPr>
                <w:rFonts w:cs="Times New Roman"/>
                <w:sz w:val="22"/>
                <w:szCs w:val="22"/>
              </w:rPr>
              <w:t>x</w:t>
            </w:r>
          </w:p>
        </w:tc>
        <w:tc>
          <w:tcPr>
            <w:tcW w:w="3569" w:type="dxa"/>
            <w:tcBorders>
              <w:left w:val="single" w:sz="4" w:space="0" w:color="000000"/>
              <w:bottom w:val="single" w:sz="4" w:space="0" w:color="000000"/>
              <w:right w:val="single" w:sz="4" w:space="0" w:color="000000"/>
            </w:tcBorders>
          </w:tcPr>
          <w:p>
            <w:pPr>
              <w:pStyle w:val="Normal"/>
              <w:widowControl/>
              <w:suppressAutoHyphens w:val="false"/>
              <w:bidi w:val="0"/>
              <w:spacing w:lineRule="auto" w:line="240" w:before="0" w:after="0"/>
              <w:ind w:hanging="0" w:right="0"/>
              <w:jc w:val="both"/>
              <w:rPr/>
            </w:pPr>
            <w:r>
              <w:rPr>
                <w:rFonts w:cs="Times New Roman" w:ascii="Times New Roman" w:hAnsi="Times New Roman"/>
                <w:b w:val="false"/>
                <w:i w:val="false"/>
                <w:strike w:val="false"/>
                <w:dstrike w:val="false"/>
                <w:outline w:val="false"/>
                <w:shadow w:val="false"/>
                <w:color w:val="000000"/>
                <w:sz w:val="22"/>
                <w:szCs w:val="22"/>
                <w:u w:val="none"/>
                <w:em w:val="none"/>
              </w:rPr>
              <w:t xml:space="preserve">В области социальной защиты населения в 2025 году реализовался региональный  проект «Многодетная семья» национального проекта «Семья», </w:t>
            </w:r>
            <w:r>
              <w:rPr>
                <w:rFonts w:cs="Times New Roman" w:ascii="Times New Roman" w:hAnsi="Times New Roman"/>
                <w:b w:val="false"/>
                <w:bCs w:val="false"/>
                <w:i w:val="false"/>
                <w:strike w:val="false"/>
                <w:dstrike w:val="false"/>
                <w:outline w:val="false"/>
                <w:shadow w:val="false"/>
                <w:color w:val="000000"/>
                <w:sz w:val="22"/>
                <w:szCs w:val="22"/>
                <w:u w:val="none"/>
                <w:em w:val="none"/>
              </w:rPr>
              <w:t>инициированного Президентом Российской Федерации Путиным В.В.</w:t>
            </w:r>
            <w:r>
              <w:rPr>
                <w:rFonts w:cs="Times New Roman" w:ascii="Times New Roman" w:hAnsi="Times New Roman"/>
                <w:b w:val="false"/>
                <w:i w:val="false"/>
                <w:strike w:val="false"/>
                <w:dstrike w:val="false"/>
                <w:outline w:val="false"/>
                <w:shadow w:val="false"/>
                <w:color w:val="000000"/>
                <w:sz w:val="22"/>
                <w:szCs w:val="22"/>
                <w:u w:val="none"/>
                <w:em w:val="none"/>
              </w:rPr>
              <w:t xml:space="preserve"> Данный проект направлен на п</w:t>
            </w:r>
            <w:r>
              <w:rPr>
                <w:rFonts w:cs="Times New Roman" w:ascii="Times New Roman" w:hAnsi="Times New Roman"/>
                <w:b w:val="false"/>
                <w:i w:val="false"/>
                <w:strike w:val="false"/>
                <w:dstrike w:val="false"/>
                <w:outline w:val="false"/>
                <w:shadow w:val="false"/>
                <w:sz w:val="22"/>
                <w:szCs w:val="22"/>
                <w:u w:val="none"/>
                <w:em w:val="none"/>
              </w:rPr>
              <w:t>редоставление государственной социальной помощи на основании социального контракта отдельным категориям граждан. В ходе реализации проекта в 2025 году о</w:t>
            </w:r>
            <w:r>
              <w:rPr>
                <w:rFonts w:cs="Times New Roman" w:ascii="Times New Roman" w:hAnsi="Times New Roman"/>
                <w:b w:val="false"/>
                <w:i w:val="false"/>
                <w:strike w:val="false"/>
                <w:dstrike w:val="false"/>
                <w:outline w:val="false"/>
                <w:shadow w:val="false"/>
                <w:sz w:val="22"/>
                <w:szCs w:val="22"/>
                <w:u w:val="none"/>
                <w:shd w:fill="FFFFFF" w:val="clear"/>
                <w:em w:val="none"/>
              </w:rPr>
              <w:t>своено 10,568 млн. рублей, выдано 48 социальных контрактов.</w:t>
            </w:r>
          </w:p>
        </w:tc>
      </w:tr>
      <w:tr>
        <w:trPr/>
        <w:tc>
          <w:tcPr>
            <w:tcW w:w="726" w:type="dxa"/>
            <w:tcBorders>
              <w:left w:val="single" w:sz="4" w:space="0" w:color="000000"/>
              <w:bottom w:val="single" w:sz="4" w:space="0" w:color="000000"/>
              <w:right w:val="single" w:sz="4" w:space="0" w:color="000000"/>
            </w:tcBorders>
          </w:tcPr>
          <w:p>
            <w:pPr>
              <w:pStyle w:val="ConsPlusNormal"/>
              <w:spacing w:lineRule="exact" w:line="240" w:before="0" w:after="200"/>
              <w:jc w:val="center"/>
              <w:rPr>
                <w:sz w:val="22"/>
                <w:szCs w:val="22"/>
              </w:rPr>
            </w:pPr>
            <w:r>
              <w:rPr>
                <w:sz w:val="22"/>
                <w:szCs w:val="22"/>
              </w:rPr>
              <w:t>1.1.2.</w:t>
            </w:r>
          </w:p>
        </w:tc>
        <w:tc>
          <w:tcPr>
            <w:tcW w:w="14627" w:type="dxa"/>
            <w:gridSpan w:val="8"/>
            <w:tcBorders>
              <w:left w:val="single" w:sz="4" w:space="0" w:color="000000"/>
              <w:bottom w:val="single" w:sz="4" w:space="0" w:color="000000"/>
              <w:right w:val="single" w:sz="4" w:space="0" w:color="000000"/>
            </w:tcBorders>
          </w:tcPr>
          <w:p>
            <w:pPr>
              <w:pStyle w:val="ListParagraph"/>
              <w:numPr>
                <w:ilvl w:val="0"/>
                <w:numId w:val="0"/>
              </w:numPr>
              <w:spacing w:before="0" w:after="200"/>
              <w:ind w:hanging="0" w:left="-113" w:right="0"/>
              <w:contextualSpacing/>
              <w:jc w:val="left"/>
              <w:rPr>
                <w:rFonts w:ascii="Times New Roman" w:hAnsi="Times New Roman" w:cs="Times New Roman"/>
                <w:color w:val="000000"/>
                <w:sz w:val="22"/>
                <w:szCs w:val="22"/>
              </w:rPr>
            </w:pPr>
            <w:r>
              <w:rPr>
                <w:rFonts w:cs="Times New Roman" w:ascii="Times New Roman" w:hAnsi="Times New Roman"/>
                <w:color w:val="000000"/>
                <w:sz w:val="22"/>
                <w:szCs w:val="22"/>
              </w:rPr>
              <w:t>Укрепление института семьи, возрождение и сохранение духовно-нравственных традиций семейных отношений.</w:t>
            </w:r>
          </w:p>
        </w:tc>
      </w:tr>
      <w:tr>
        <w:trPr/>
        <w:tc>
          <w:tcPr>
            <w:tcW w:w="726" w:type="dxa"/>
            <w:tcBorders>
              <w:left w:val="single" w:sz="4" w:space="0" w:color="000000"/>
              <w:bottom w:val="single" w:sz="4" w:space="0" w:color="000000"/>
              <w:right w:val="single" w:sz="4" w:space="0" w:color="000000"/>
            </w:tcBorders>
          </w:tcPr>
          <w:p>
            <w:pPr>
              <w:pStyle w:val="ConsPlusNormal"/>
              <w:spacing w:lineRule="exact" w:line="240" w:before="0" w:after="200"/>
              <w:jc w:val="center"/>
              <w:rPr>
                <w:sz w:val="22"/>
                <w:szCs w:val="22"/>
              </w:rPr>
            </w:pPr>
            <w:r>
              <w:rPr>
                <w:sz w:val="22"/>
                <w:szCs w:val="22"/>
              </w:rPr>
              <w:t>а)</w:t>
            </w:r>
          </w:p>
        </w:tc>
        <w:tc>
          <w:tcPr>
            <w:tcW w:w="2863" w:type="dxa"/>
            <w:tcBorders>
              <w:left w:val="single" w:sz="4" w:space="0" w:color="000000"/>
              <w:bottom w:val="single" w:sz="4" w:space="0" w:color="000000"/>
              <w:right w:val="single" w:sz="4" w:space="0" w:color="000000"/>
            </w:tcBorders>
          </w:tcPr>
          <w:p>
            <w:pPr>
              <w:pStyle w:val="ListParagraph"/>
              <w:numPr>
                <w:ilvl w:val="0"/>
                <w:numId w:val="0"/>
              </w:numPr>
              <w:spacing w:before="0" w:after="200"/>
              <w:ind w:firstLine="60" w:left="0" w:right="0"/>
              <w:contextualSpacing/>
              <w:rPr>
                <w:rFonts w:ascii="Times New Roman" w:hAnsi="Times New Roman" w:cs="Times New Roman"/>
                <w:sz w:val="22"/>
                <w:szCs w:val="22"/>
              </w:rPr>
            </w:pPr>
            <w:r>
              <w:rPr>
                <w:rFonts w:cs="Times New Roman" w:ascii="Times New Roman" w:hAnsi="Times New Roman"/>
                <w:sz w:val="22"/>
                <w:szCs w:val="22"/>
              </w:rPr>
              <w:t>Проведение культурно - массовых мероприятий, направленных на укре</w:t>
              <w:softHyphen/>
              <w:t>пление института семьи, популяризацию семейных ценностей</w:t>
            </w:r>
          </w:p>
        </w:tc>
        <w:tc>
          <w:tcPr>
            <w:tcW w:w="2096" w:type="dxa"/>
            <w:gridSpan w:val="2"/>
            <w:tcBorders>
              <w:left w:val="single" w:sz="4" w:space="0" w:color="000000"/>
              <w:bottom w:val="single" w:sz="4" w:space="0" w:color="000000"/>
              <w:right w:val="single" w:sz="4" w:space="0" w:color="000000"/>
            </w:tcBorders>
          </w:tcPr>
          <w:p>
            <w:pPr>
              <w:pStyle w:val="Normal"/>
              <w:spacing w:before="0" w:after="200"/>
              <w:jc w:val="both"/>
              <w:rPr>
                <w:rFonts w:ascii="Times New Roman" w:hAnsi="Times New Roman" w:eastAsia="" w:cs="Times New Roman"/>
                <w:sz w:val="22"/>
                <w:szCs w:val="22"/>
                <w:lang w:eastAsia="ja-JP"/>
              </w:rPr>
            </w:pPr>
            <w:r>
              <w:rPr>
                <w:rFonts w:eastAsia="" w:cs="Times New Roman" w:ascii="Times New Roman" w:hAnsi="Times New Roman"/>
                <w:sz w:val="22"/>
                <w:szCs w:val="22"/>
                <w:lang w:eastAsia="ja-JP"/>
              </w:rPr>
              <w:t>Внепрограммные мероприятия</w:t>
            </w:r>
          </w:p>
        </w:tc>
        <w:tc>
          <w:tcPr>
            <w:tcW w:w="1507"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культуры АТМО СК, территориальные управления АТМО СК, УТСЗН</w:t>
            </w:r>
          </w:p>
        </w:tc>
        <w:tc>
          <w:tcPr>
            <w:tcW w:w="2349" w:type="dxa"/>
            <w:tcBorders>
              <w:left w:val="single" w:sz="4" w:space="0" w:color="000000"/>
              <w:bottom w:val="single" w:sz="4" w:space="0" w:color="000000"/>
              <w:right w:val="single" w:sz="4" w:space="0" w:color="000000"/>
            </w:tcBorders>
          </w:tcPr>
          <w:p>
            <w:pPr>
              <w:pStyle w:val="ConsPlusNormal"/>
              <w:snapToGrid w:val="false"/>
              <w:spacing w:lineRule="exact" w:line="240" w:before="0" w:after="200"/>
              <w:jc w:val="center"/>
              <w:rPr>
                <w:rFonts w:ascii="Times New Roman" w:hAnsi="Times New Roman" w:cs="Times New Roman"/>
                <w:sz w:val="22"/>
                <w:szCs w:val="22"/>
              </w:rPr>
            </w:pPr>
            <w:r>
              <w:rPr>
                <w:rFonts w:cs="Times New Roman"/>
                <w:sz w:val="22"/>
                <w:szCs w:val="22"/>
              </w:rPr>
              <w:t>х</w:t>
            </w:r>
          </w:p>
        </w:tc>
        <w:tc>
          <w:tcPr>
            <w:tcW w:w="951" w:type="dxa"/>
            <w:tcBorders>
              <w:left w:val="single" w:sz="4" w:space="0" w:color="000000"/>
              <w:bottom w:val="single" w:sz="4" w:space="0" w:color="000000"/>
              <w:right w:val="single" w:sz="4" w:space="0" w:color="000000"/>
            </w:tcBorders>
          </w:tcPr>
          <w:p>
            <w:pPr>
              <w:pStyle w:val="ConsPlusNormal"/>
              <w:snapToGrid w:val="false"/>
              <w:spacing w:lineRule="exact" w:line="240" w:before="0" w:after="200"/>
              <w:jc w:val="center"/>
              <w:rPr>
                <w:rFonts w:ascii="Times New Roman" w:hAnsi="Times New Roman" w:cs="Times New Roman"/>
                <w:sz w:val="22"/>
                <w:szCs w:val="22"/>
              </w:rPr>
            </w:pPr>
            <w:r>
              <w:rPr>
                <w:rFonts w:cs="Times New Roman"/>
                <w:sz w:val="22"/>
                <w:szCs w:val="22"/>
              </w:rPr>
              <w:t>х</w:t>
            </w:r>
          </w:p>
        </w:tc>
        <w:tc>
          <w:tcPr>
            <w:tcW w:w="1292" w:type="dxa"/>
            <w:tcBorders>
              <w:left w:val="single" w:sz="4" w:space="0" w:color="000000"/>
              <w:bottom w:val="single" w:sz="4" w:space="0" w:color="000000"/>
            </w:tcBorders>
          </w:tcPr>
          <w:p>
            <w:pPr>
              <w:pStyle w:val="ConsPlusNormal"/>
              <w:snapToGrid w:val="false"/>
              <w:spacing w:lineRule="exact" w:line="240" w:before="0" w:after="200"/>
              <w:jc w:val="center"/>
              <w:rPr>
                <w:rFonts w:ascii="Times New Roman" w:hAnsi="Times New Roman" w:cs="Times New Roman"/>
                <w:sz w:val="22"/>
                <w:szCs w:val="22"/>
              </w:rPr>
            </w:pPr>
            <w:r>
              <w:rPr>
                <w:rFonts w:cs="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tabs>
                <w:tab w:val="clear" w:pos="708"/>
                <w:tab w:val="left" w:pos="5670" w:leader="none"/>
              </w:tabs>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В рамках проведения Года семьи на территории округа проведен ряд культурно – массовых мероприятий, направленных на укрепление института семьи, популяризацию семейных ценностей, в том числе: торжественные мероприятия ко Дню семьи, любви и верности, Дню матери, Дню отца, Парад семей, чествование семей, награжденных медалями «За сохранение семейных ценностей» и др.</w:t>
            </w:r>
          </w:p>
        </w:tc>
      </w:tr>
      <w:tr>
        <w:trPr/>
        <w:tc>
          <w:tcPr>
            <w:tcW w:w="726" w:type="dxa"/>
            <w:tcBorders>
              <w:left w:val="single" w:sz="4" w:space="0" w:color="000000"/>
              <w:bottom w:val="single" w:sz="4" w:space="0" w:color="000000"/>
              <w:right w:val="single" w:sz="4" w:space="0" w:color="000000"/>
            </w:tcBorders>
          </w:tcPr>
          <w:p>
            <w:pPr>
              <w:pStyle w:val="ConsPlusNormal"/>
              <w:spacing w:lineRule="exact" w:line="240" w:before="0" w:after="200"/>
              <w:jc w:val="center"/>
              <w:rPr>
                <w:sz w:val="22"/>
                <w:szCs w:val="22"/>
              </w:rPr>
            </w:pPr>
            <w:r>
              <w:rPr>
                <w:sz w:val="22"/>
                <w:szCs w:val="22"/>
              </w:rPr>
              <w:t>1.1.3.</w:t>
            </w:r>
          </w:p>
        </w:tc>
        <w:tc>
          <w:tcPr>
            <w:tcW w:w="14627" w:type="dxa"/>
            <w:gridSpan w:val="8"/>
            <w:tcBorders>
              <w:left w:val="single" w:sz="4" w:space="0" w:color="000000"/>
              <w:bottom w:val="single" w:sz="4" w:space="0" w:color="000000"/>
              <w:right w:val="single" w:sz="4" w:space="0" w:color="000000"/>
            </w:tcBorders>
          </w:tcPr>
          <w:p>
            <w:pPr>
              <w:pStyle w:val="Normal"/>
              <w:spacing w:before="0" w:after="143"/>
              <w:jc w:val="both"/>
              <w:rPr>
                <w:rFonts w:ascii="Times New Roman" w:hAnsi="Times New Roman" w:cs="Times New Roman"/>
                <w:sz w:val="22"/>
                <w:szCs w:val="22"/>
                <w:lang w:eastAsia="ru-RU"/>
              </w:rPr>
            </w:pPr>
            <w:r>
              <w:rPr>
                <w:rFonts w:cs="Times New Roman" w:ascii="Times New Roman" w:hAnsi="Times New Roman"/>
                <w:sz w:val="22"/>
                <w:szCs w:val="22"/>
                <w:lang w:eastAsia="ru-RU"/>
              </w:rPr>
              <w:t>Усиление дифференциации социальной поддержки семей в зависимости от числа детей, стимулирование рождения вторых и последующих детей</w:t>
            </w:r>
          </w:p>
        </w:tc>
      </w:tr>
      <w:tr>
        <w:trPr>
          <w:trHeight w:val="4015" w:hRule="atLeast"/>
        </w:trPr>
        <w:tc>
          <w:tcPr>
            <w:tcW w:w="726" w:type="dxa"/>
            <w:tcBorders>
              <w:left w:val="single" w:sz="4" w:space="0" w:color="000000"/>
              <w:bottom w:val="single" w:sz="4" w:space="0" w:color="000000"/>
              <w:right w:val="single" w:sz="4" w:space="0" w:color="000000"/>
            </w:tcBorders>
          </w:tcPr>
          <w:p>
            <w:pPr>
              <w:pStyle w:val="ConsPlusNormal"/>
              <w:spacing w:lineRule="exact" w:line="240" w:before="0" w:after="200"/>
              <w:jc w:val="center"/>
              <w:rPr>
                <w:sz w:val="22"/>
                <w:szCs w:val="22"/>
              </w:rPr>
            </w:pPr>
            <w:r>
              <w:rPr>
                <w:sz w:val="22"/>
                <w:szCs w:val="22"/>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rPr>
            </w:pPr>
            <w:r>
              <w:rPr>
                <w:rFonts w:ascii="Times New Roman" w:hAnsi="Times New Roman"/>
              </w:rPr>
              <w:t>Предоставление мер социальной поддержки семьям при рождении детей в рамках национального проекта «Семья» регионального проекта «Многодетная семья»</w:t>
            </w:r>
          </w:p>
        </w:tc>
        <w:tc>
          <w:tcPr>
            <w:tcW w:w="2096"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«Социальная поддержка граждан»</w:t>
            </w:r>
          </w:p>
        </w:tc>
        <w:tc>
          <w:tcPr>
            <w:tcW w:w="1507"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УТСЗН</w:t>
            </w:r>
          </w:p>
        </w:tc>
        <w:tc>
          <w:tcPr>
            <w:tcW w:w="2349" w:type="dxa"/>
            <w:tcBorders>
              <w:left w:val="single" w:sz="4" w:space="0" w:color="000000"/>
              <w:bottom w:val="single" w:sz="4" w:space="0" w:color="000000"/>
              <w:right w:val="single" w:sz="4" w:space="0" w:color="000000"/>
            </w:tcBorders>
          </w:tcPr>
          <w:p>
            <w:pPr>
              <w:pStyle w:val="ConsPlusNormal"/>
              <w:spacing w:lineRule="exact" w:line="240" w:before="0" w:after="200"/>
              <w:jc w:val="center"/>
              <w:rPr>
                <w:rFonts w:ascii="Times New Roman" w:hAnsi="Times New Roman" w:cs="Times New Roman"/>
                <w:sz w:val="22"/>
                <w:szCs w:val="22"/>
              </w:rPr>
            </w:pPr>
            <w:r>
              <w:rPr>
                <w:rFonts w:cs="Times New Roman"/>
                <w:sz w:val="22"/>
                <w:szCs w:val="22"/>
              </w:rPr>
              <w:t>x</w:t>
            </w:r>
          </w:p>
        </w:tc>
        <w:tc>
          <w:tcPr>
            <w:tcW w:w="951" w:type="dxa"/>
            <w:tcBorders>
              <w:left w:val="single" w:sz="4" w:space="0" w:color="000000"/>
              <w:bottom w:val="single" w:sz="4" w:space="0" w:color="000000"/>
              <w:right w:val="single" w:sz="4" w:space="0" w:color="000000"/>
            </w:tcBorders>
          </w:tcPr>
          <w:p>
            <w:pPr>
              <w:pStyle w:val="ConsPlusNormal"/>
              <w:spacing w:lineRule="exact" w:line="240" w:before="0" w:after="200"/>
              <w:jc w:val="center"/>
              <w:rPr>
                <w:rFonts w:ascii="Times New Roman" w:hAnsi="Times New Roman" w:cs="Times New Roman"/>
                <w:sz w:val="22"/>
                <w:szCs w:val="22"/>
              </w:rPr>
            </w:pPr>
            <w:r>
              <w:rPr>
                <w:rFonts w:cs="Times New Roman"/>
                <w:sz w:val="22"/>
                <w:szCs w:val="22"/>
              </w:rPr>
              <w:t>x</w:t>
            </w:r>
          </w:p>
        </w:tc>
        <w:tc>
          <w:tcPr>
            <w:tcW w:w="1292" w:type="dxa"/>
            <w:tcBorders>
              <w:left w:val="single" w:sz="4" w:space="0" w:color="000000"/>
              <w:bottom w:val="single" w:sz="4" w:space="0" w:color="000000"/>
            </w:tcBorders>
          </w:tcPr>
          <w:p>
            <w:pPr>
              <w:pStyle w:val="ConsPlusNormal"/>
              <w:spacing w:lineRule="exact" w:line="240" w:before="0" w:after="200"/>
              <w:jc w:val="center"/>
              <w:rPr>
                <w:rFonts w:ascii="Times New Roman" w:hAnsi="Times New Roman" w:cs="Times New Roman"/>
                <w:sz w:val="22"/>
                <w:szCs w:val="22"/>
              </w:rPr>
            </w:pPr>
            <w:r>
              <w:rPr>
                <w:rFonts w:cs="Times New Roman"/>
                <w:sz w:val="22"/>
                <w:szCs w:val="22"/>
              </w:rPr>
              <w:t>x</w:t>
            </w:r>
          </w:p>
        </w:tc>
        <w:tc>
          <w:tcPr>
            <w:tcW w:w="3569" w:type="dxa"/>
            <w:tcBorders>
              <w:left w:val="single" w:sz="4" w:space="0" w:color="000000"/>
              <w:bottom w:val="single" w:sz="4" w:space="0" w:color="000000"/>
              <w:right w:val="single" w:sz="4" w:space="0" w:color="000000"/>
            </w:tcBorders>
          </w:tcPr>
          <w:p>
            <w:pPr>
              <w:pStyle w:val="Normal"/>
              <w:widowControl/>
              <w:suppressAutoHyphens w:val="false"/>
              <w:bidi w:val="0"/>
              <w:spacing w:lineRule="auto" w:line="240" w:before="0" w:after="0"/>
              <w:ind w:hanging="0" w:right="0"/>
              <w:jc w:val="both"/>
              <w:rPr/>
            </w:pPr>
            <w:r>
              <w:rPr>
                <w:rFonts w:cs="Times New Roman" w:ascii="Times New Roman" w:hAnsi="Times New Roman"/>
                <w:b w:val="false"/>
                <w:i w:val="false"/>
                <w:strike w:val="false"/>
                <w:dstrike w:val="false"/>
                <w:outline w:val="false"/>
                <w:shadow w:val="false"/>
                <w:color w:val="000000"/>
                <w:sz w:val="22"/>
                <w:szCs w:val="22"/>
                <w:u w:val="none"/>
                <w:em w:val="none"/>
              </w:rPr>
              <w:t xml:space="preserve">В области социальной защиты населения в 2025 году реализовался региональный проект «Многодетная семья» национального проекта «Семья», </w:t>
            </w:r>
            <w:r>
              <w:rPr>
                <w:rFonts w:cs="Times New Roman" w:ascii="Times New Roman" w:hAnsi="Times New Roman"/>
                <w:b w:val="false"/>
                <w:bCs w:val="false"/>
                <w:i w:val="false"/>
                <w:strike w:val="false"/>
                <w:dstrike w:val="false"/>
                <w:outline w:val="false"/>
                <w:shadow w:val="false"/>
                <w:color w:val="000000"/>
                <w:sz w:val="22"/>
                <w:szCs w:val="22"/>
                <w:u w:val="none"/>
                <w:em w:val="none"/>
              </w:rPr>
              <w:t>инициированного Президентом Российской Федерации Путиным В.В.</w:t>
            </w:r>
            <w:r>
              <w:rPr>
                <w:rFonts w:cs="Times New Roman" w:ascii="Times New Roman" w:hAnsi="Times New Roman"/>
                <w:b w:val="false"/>
                <w:i w:val="false"/>
                <w:strike w:val="false"/>
                <w:dstrike w:val="false"/>
                <w:outline w:val="false"/>
                <w:shadow w:val="false"/>
                <w:color w:val="000000"/>
                <w:sz w:val="22"/>
                <w:szCs w:val="22"/>
                <w:u w:val="none"/>
                <w:em w:val="none"/>
              </w:rPr>
              <w:t xml:space="preserve"> Данный проект направлен на п</w:t>
            </w:r>
            <w:r>
              <w:rPr>
                <w:rFonts w:cs="Times New Roman" w:ascii="Times New Roman" w:hAnsi="Times New Roman"/>
                <w:b w:val="false"/>
                <w:i w:val="false"/>
                <w:strike w:val="false"/>
                <w:dstrike w:val="false"/>
                <w:outline w:val="false"/>
                <w:shadow w:val="false"/>
                <w:sz w:val="22"/>
                <w:szCs w:val="22"/>
                <w:u w:val="none"/>
                <w:em w:val="none"/>
              </w:rPr>
              <w:t>редоставление государственной социальной помощи на основании социального контракта отдельным категориям граждан. В ходе реализации проекта в 2025 году о</w:t>
            </w:r>
            <w:r>
              <w:rPr>
                <w:rFonts w:cs="Times New Roman" w:ascii="Times New Roman" w:hAnsi="Times New Roman"/>
                <w:b w:val="false"/>
                <w:i w:val="false"/>
                <w:strike w:val="false"/>
                <w:dstrike w:val="false"/>
                <w:outline w:val="false"/>
                <w:shadow w:val="false"/>
                <w:sz w:val="22"/>
                <w:szCs w:val="22"/>
                <w:u w:val="none"/>
                <w:shd w:fill="FFFFFF" w:val="clear"/>
                <w:em w:val="none"/>
              </w:rPr>
              <w:t>своено 10,568 млн. рублей, выдано 48 социальных контрактов.</w:t>
            </w:r>
          </w:p>
        </w:tc>
      </w:tr>
      <w:tr>
        <w:trPr>
          <w:trHeight w:val="1034" w:hRule="atLeast"/>
        </w:trPr>
        <w:tc>
          <w:tcPr>
            <w:tcW w:w="7192" w:type="dxa"/>
            <w:gridSpan w:val="5"/>
            <w:vMerge w:val="restart"/>
            <w:tcBorders>
              <w:left w:val="single" w:sz="4" w:space="0" w:color="000000"/>
              <w:bottom w:val="single" w:sz="4" w:space="0" w:color="000000"/>
              <w:right w:val="single" w:sz="4" w:space="0" w:color="000000"/>
            </w:tcBorders>
          </w:tcPr>
          <w:p>
            <w:pPr>
              <w:pStyle w:val="Normal"/>
              <w:spacing w:lineRule="auto" w:line="240" w:before="0" w:after="0"/>
              <w:jc w:val="left"/>
              <w:rPr>
                <w:rFonts w:ascii="Times New Roman" w:hAnsi="Times New Roman" w:cs="Times New Roman"/>
              </w:rPr>
            </w:pPr>
            <w:r>
              <w:rPr>
                <w:rFonts w:eastAsia="" w:cs="Times New Roman" w:ascii="Times New Roman" w:hAnsi="Times New Roman"/>
                <w:b/>
                <w:bCs/>
                <w:sz w:val="22"/>
                <w:szCs w:val="22"/>
                <w:lang w:eastAsia="ru-RU"/>
              </w:rPr>
              <w:t>1.2. Развитие образования</w:t>
            </w:r>
          </w:p>
        </w:tc>
        <w:tc>
          <w:tcPr>
            <w:tcW w:w="234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Доступность дошко</w:t>
              <w:softHyphen/>
              <w:t>льного образования для детей в возрасте до 3 лет</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процент</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x</w:t>
            </w:r>
          </w:p>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pPr>
            <w:r>
              <w:rPr>
                <w:rFonts w:eastAsia="" w:cs="Times New Roman" w:ascii="Times New Roman" w:hAnsi="Times New Roman"/>
                <w:color w:val="000000"/>
                <w:sz w:val="22"/>
                <w:szCs w:val="22"/>
                <w:shd w:fill="FFFFFF" w:val="clear"/>
                <w:lang w:eastAsia="ru-RU"/>
              </w:rPr>
              <w:t>Доступность дошко</w:t>
              <w:softHyphen/>
              <w:t xml:space="preserve">льного образования для детей в возрасте до 3 лет за 2025 год - </w:t>
            </w:r>
            <w:r>
              <w:rPr>
                <w:rFonts w:eastAsia="" w:cs="Times New Roman" w:ascii="Times New Roman" w:hAnsi="Times New Roman"/>
                <w:sz w:val="22"/>
                <w:szCs w:val="22"/>
                <w:shd w:fill="FFFFFF" w:val="clear"/>
                <w:lang w:eastAsia="ru-RU"/>
              </w:rPr>
              <w:t>100.</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hd w:fill="FFFFFF" w:val="clear"/>
                <w:lang w:eastAsia="ru-RU"/>
              </w:rPr>
            </w:pPr>
            <w:r>
              <w:rPr>
                <w:rFonts w:eastAsia="" w:cs="Times New Roman" w:ascii="Times New Roman" w:hAnsi="Times New Roman"/>
                <w:shd w:fill="FFFFFF" w:val="clear"/>
                <w:lang w:eastAsia="ru-RU"/>
              </w:rPr>
            </w:r>
          </w:p>
        </w:tc>
        <w:tc>
          <w:tcPr>
            <w:tcW w:w="2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2"/>
                <w:szCs w:val="22"/>
                <w:shd w:fill="FFFFFF" w:val="clear"/>
                <w:lang w:eastAsia="ru-RU"/>
              </w:rPr>
            </w:pPr>
            <w:r>
              <w:rPr>
                <w:rFonts w:cs="Times New Roman" w:ascii="Times New Roman" w:hAnsi="Times New Roman"/>
                <w:color w:val="000000"/>
                <w:sz w:val="22"/>
                <w:szCs w:val="22"/>
                <w:shd w:fill="FFFFFF" w:val="clear"/>
                <w:lang w:eastAsia="ru-RU"/>
              </w:rPr>
              <w:t>Доля детей в возрасте 1 - 6 лет, получаю</w:t>
              <w:softHyphen/>
              <w:t>щих дошкольную об</w:t>
              <w:softHyphen/>
              <w:t>разовательную услугу и (или) услугу по их содержанию в муниципальных об</w:t>
              <w:softHyphen/>
              <w:t>разовательных учре</w:t>
              <w:softHyphen/>
              <w:t>ждениях в общей численности детей в возрасте 1 - 6 лет</w:t>
            </w:r>
          </w:p>
        </w:tc>
        <w:tc>
          <w:tcPr>
            <w:tcW w:w="9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процент</w:t>
            </w:r>
          </w:p>
        </w:tc>
        <w:tc>
          <w:tcPr>
            <w:tcW w:w="1292" w:type="dxa"/>
            <w:tcBorders>
              <w:top w:val="single" w:sz="4" w:space="0" w:color="000000"/>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pPr>
            <w:r>
              <w:rPr>
                <w:rFonts w:cs="Times New Roman" w:ascii="Times New Roman" w:hAnsi="Times New Roman"/>
                <w:color w:val="000000"/>
                <w:sz w:val="22"/>
                <w:szCs w:val="22"/>
                <w:shd w:fill="FFFFFF" w:val="clear"/>
                <w:lang w:eastAsia="ru-RU"/>
              </w:rPr>
              <w:t>Доля детей в возрасте 1 - 6 лет, получаю</w:t>
              <w:softHyphen/>
              <w:t>щих дошкольную об</w:t>
              <w:softHyphen/>
              <w:t>разовательную ус</w:t>
              <w:softHyphen/>
              <w:t>лугу и (или) услугу по их содержанию в муниципальных об</w:t>
              <w:softHyphen/>
              <w:t>разовательных учре</w:t>
              <w:softHyphen/>
              <w:t>ждениях в общей численности детей в возрасте 1 - 6 лет, за 2025 год — 77,5%</w:t>
            </w:r>
            <w:r>
              <w:rPr>
                <w:rFonts w:cs="Times New Roman" w:ascii="Times New Roman" w:hAnsi="Times New Roman"/>
                <w:color w:val="000000"/>
                <w:sz w:val="22"/>
                <w:szCs w:val="22"/>
                <w:shd w:fill="auto" w:val="clear"/>
                <w:lang w:eastAsia="ru-RU"/>
              </w:rPr>
              <w:t xml:space="preserve">. Показатель увеличился, за счет уменьшения общего количества </w:t>
            </w:r>
            <w:r>
              <w:rPr>
                <w:rFonts w:cs="Times New Roman" w:ascii="Times New Roman" w:hAnsi="Times New Roman"/>
                <w:color w:val="000000"/>
                <w:sz w:val="22"/>
                <w:szCs w:val="22"/>
                <w:shd w:fill="FFFFFF" w:val="clear"/>
                <w:lang w:eastAsia="ru-RU"/>
              </w:rPr>
              <w:t>детей в возрасте 1 - 6 лет на территории округа.</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hd w:fill="FFFFFF" w:val="clear"/>
                <w:lang w:eastAsia="ru-RU"/>
              </w:rPr>
            </w:pPr>
            <w:r>
              <w:rPr>
                <w:rFonts w:eastAsia="" w:cs="Times New Roman" w:ascii="Times New Roman" w:hAnsi="Times New Roman"/>
                <w:shd w:fill="FFFFFF" w:val="clear"/>
                <w:lang w:eastAsia="ru-RU"/>
              </w:rPr>
            </w:r>
          </w:p>
        </w:tc>
        <w:tc>
          <w:tcPr>
            <w:tcW w:w="234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2"/>
                <w:szCs w:val="22"/>
                <w:lang w:eastAsia="ru-RU"/>
              </w:rPr>
            </w:pPr>
            <w:r>
              <w:rPr>
                <w:rFonts w:cs="Times New Roman" w:ascii="Times New Roman" w:hAnsi="Times New Roman"/>
                <w:sz w:val="22"/>
                <w:szCs w:val="22"/>
                <w:lang w:eastAsia="ru-RU"/>
              </w:rPr>
              <w:t>Доля муниципальных общеобразовательных учреждений, со</w:t>
              <w:softHyphen/>
              <w:t>ответствующих со</w:t>
              <w:softHyphen/>
              <w:t>временным требова</w:t>
              <w:softHyphen/>
              <w:t>ниям обучения, в об</w:t>
              <w:softHyphen/>
              <w:t>щем количестве му</w:t>
              <w:softHyphen/>
              <w:t>ниципальных обще</w:t>
              <w:softHyphen/>
              <w:t>образовательных уч</w:t>
              <w:softHyphen/>
              <w:t>реждений,</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2"/>
                <w:szCs w:val="22"/>
                <w:shd w:fill="FFFFFF" w:val="clear"/>
                <w:lang w:eastAsia="ru-RU"/>
              </w:rPr>
            </w:pPr>
            <w:r>
              <w:rPr>
                <w:rFonts w:cs="Times New Roman" w:ascii="Times New Roman" w:hAnsi="Times New Roman"/>
                <w:sz w:val="22"/>
                <w:szCs w:val="22"/>
                <w:shd w:fill="FFFFFF" w:val="clear"/>
                <w:lang w:eastAsia="ru-RU"/>
              </w:rPr>
              <w:t>процент</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pPr>
            <w:r>
              <w:rPr>
                <w:rFonts w:cs="Times New Roman" w:ascii="Times New Roman" w:hAnsi="Times New Roman"/>
                <w:sz w:val="22"/>
                <w:szCs w:val="22"/>
                <w:lang w:eastAsia="ru-RU"/>
              </w:rPr>
              <w:t>Доля муниципальных общеобразовательных учреждений, соответствующих современным требова</w:t>
              <w:softHyphen/>
              <w:t>ниям обучения, в общем количестве му</w:t>
              <w:softHyphen/>
              <w:t>ниципальных общеобразовательных уч</w:t>
              <w:softHyphen/>
              <w:t>реждений- 80,42%.</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hd w:fill="FFFFFF" w:val="clear"/>
                <w:lang w:eastAsia="ru-RU"/>
              </w:rPr>
            </w:pPr>
            <w:r>
              <w:rPr>
                <w:rFonts w:eastAsia="" w:cs="Times New Roman" w:ascii="Times New Roman" w:hAnsi="Times New Roman"/>
                <w:shd w:fill="FFFFFF" w:val="clear"/>
                <w:lang w:eastAsia="ru-RU"/>
              </w:rPr>
            </w:r>
          </w:p>
        </w:tc>
        <w:tc>
          <w:tcPr>
            <w:tcW w:w="234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2"/>
                <w:szCs w:val="22"/>
                <w:lang w:eastAsia="ru-RU"/>
              </w:rPr>
            </w:pPr>
            <w:r>
              <w:rPr>
                <w:rFonts w:cs="Times New Roman" w:ascii="Times New Roman" w:hAnsi="Times New Roman"/>
                <w:sz w:val="22"/>
                <w:szCs w:val="22"/>
                <w:lang w:eastAsia="ru-RU"/>
              </w:rPr>
              <w:t>Доля детей в возрасте 5 - 18 лет, охваченных дополнительным образованием</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процент</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pPr>
            <w:r>
              <w:rPr>
                <w:rFonts w:cs="Times New Roman" w:ascii="Times New Roman" w:hAnsi="Times New Roman"/>
                <w:sz w:val="22"/>
                <w:szCs w:val="22"/>
                <w:lang w:eastAsia="ru-RU"/>
              </w:rPr>
              <w:t>Доля детей в возрасте 5 - 18 лет, охвачен</w:t>
              <w:softHyphen/>
              <w:t>ных дополнительным образованием, за 2025 год — 76,7%. Показатель уменьшился, за счет отказа родителей от регистрации в АИС «Навигатор допобразования».</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1.2.2.</w:t>
            </w:r>
          </w:p>
        </w:tc>
        <w:tc>
          <w:tcPr>
            <w:tcW w:w="14627" w:type="dxa"/>
            <w:gridSpan w:val="8"/>
            <w:tcBorders>
              <w:top w:val="single" w:sz="4" w:space="0" w:color="000000"/>
              <w:left w:val="single" w:sz="4" w:space="0" w:color="000000"/>
              <w:bottom w:val="single" w:sz="4" w:space="0" w:color="000000"/>
              <w:right w:val="single" w:sz="4" w:space="0" w:color="000000"/>
            </w:tcBorders>
          </w:tcPr>
          <w:p>
            <w:pPr>
              <w:pStyle w:val="ListParagraph"/>
              <w:numPr>
                <w:ilvl w:val="0"/>
                <w:numId w:val="0"/>
              </w:numPr>
              <w:spacing w:before="0" w:after="200"/>
              <w:ind w:hanging="0" w:left="-113" w:right="0"/>
              <w:contextualSpacing/>
              <w:jc w:val="left"/>
              <w:rPr>
                <w:rFonts w:ascii="Times New Roman" w:hAnsi="Times New Roman" w:cs="Times New Roman"/>
                <w:color w:val="000000"/>
                <w:sz w:val="22"/>
                <w:szCs w:val="22"/>
              </w:rPr>
            </w:pPr>
            <w:r>
              <w:rPr>
                <w:rFonts w:cs="Times New Roman" w:ascii="Times New Roman" w:hAnsi="Times New Roman"/>
                <w:color w:val="000000"/>
                <w:sz w:val="22"/>
                <w:szCs w:val="22"/>
              </w:rPr>
              <w:t>Сохранение и укрепление здоровья детей в период получения образования на всех его уровнях, формирование культуры здоровья</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Проведение летних профильных смен на базе пришкольных лагерей для самореализации и саморазвития обучающихся, используя обновленную практику</w:t>
            </w:r>
          </w:p>
        </w:tc>
        <w:tc>
          <w:tcPr>
            <w:tcW w:w="18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об</w:t>
              <w:softHyphen/>
              <w:t>разования»</w:t>
            </w:r>
          </w:p>
        </w:tc>
        <w:tc>
          <w:tcPr>
            <w:tcW w:w="176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образования   АТМО СК, образовательные организации округа</w:t>
            </w:r>
          </w:p>
        </w:tc>
        <w:tc>
          <w:tcPr>
            <w:tcW w:w="23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lang w:eastAsia="ru-RU"/>
              </w:rPr>
              <w:t xml:space="preserve">Доля обучающихся, </w:t>
            </w:r>
            <w:r>
              <w:rPr>
                <w:rFonts w:eastAsia="" w:cs="Times New Roman" w:ascii="Times New Roman" w:hAnsi="Times New Roman"/>
                <w:sz w:val="22"/>
                <w:szCs w:val="22"/>
                <w:lang w:eastAsia="ru-RU"/>
              </w:rPr>
              <w:t>охваченных летним отдыхом и трудовой занятостью</w:t>
            </w:r>
          </w:p>
          <w:p>
            <w:pPr>
              <w:pStyle w:val="Normal"/>
              <w:widowControl w:val="false"/>
              <w:shd w:val="clear" w:fill="FFFFFF"/>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tc>
        <w:tc>
          <w:tcPr>
            <w:tcW w:w="9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процент</w:t>
            </w:r>
          </w:p>
        </w:tc>
        <w:tc>
          <w:tcPr>
            <w:tcW w:w="1292" w:type="dxa"/>
            <w:tcBorders>
              <w:top w:val="single" w:sz="4" w:space="0" w:color="000000"/>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x</w:t>
            </w:r>
          </w:p>
          <w:p>
            <w:pPr>
              <w:pStyle w:val="Normal"/>
              <w:spacing w:lineRule="auto" w:line="240" w:before="0" w:after="0"/>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rPr>
              <w:t xml:space="preserve">Доля обучающихся, охваченных летним отдыхом и трудовой занятостью, за 2025 год — </w:t>
            </w:r>
            <w:r>
              <w:rPr>
                <w:rFonts w:eastAsia="" w:cs="Times New Roman" w:ascii="Times New Roman" w:hAnsi="Times New Roman"/>
                <w:sz w:val="22"/>
                <w:szCs w:val="22"/>
                <w:shd w:fill="FFFFFF" w:val="clear"/>
                <w:lang w:eastAsia="ru-RU"/>
              </w:rPr>
              <w:t>30,2%.</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top w:val="single" w:sz="4" w:space="0" w:color="000000"/>
              <w:left w:val="single" w:sz="4" w:space="0" w:color="000000"/>
              <w:bottom w:val="single" w:sz="4" w:space="0" w:color="000000"/>
              <w:right w:val="single" w:sz="4" w:space="0" w:color="000000"/>
            </w:tcBorders>
          </w:tcPr>
          <w:p>
            <w:pPr>
              <w:pStyle w:val="ListParagraph"/>
              <w:numPr>
                <w:ilvl w:val="0"/>
                <w:numId w:val="0"/>
              </w:numPr>
              <w:spacing w:before="0" w:after="200"/>
              <w:ind w:hanging="0" w:left="-113" w:right="0"/>
              <w:contextualSpacing/>
              <w:rPr>
                <w:rFonts w:ascii="Times New Roman" w:hAnsi="Times New Roman" w:cs="Times New Roman"/>
                <w:sz w:val="22"/>
                <w:szCs w:val="22"/>
              </w:rPr>
            </w:pPr>
            <w:r>
              <w:rPr>
                <w:rFonts w:cs="Times New Roman" w:ascii="Times New Roman" w:hAnsi="Times New Roman"/>
                <w:sz w:val="22"/>
                <w:szCs w:val="22"/>
              </w:rPr>
              <w:t>Организация и проведение мероприятий спортивной направленности</w:t>
            </w:r>
          </w:p>
        </w:tc>
        <w:tc>
          <w:tcPr>
            <w:tcW w:w="18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об</w:t>
              <w:softHyphen/>
              <w:t>разования»</w:t>
            </w:r>
          </w:p>
        </w:tc>
        <w:tc>
          <w:tcPr>
            <w:tcW w:w="176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образования   АТМО СК, образовательные организации округа</w:t>
            </w:r>
          </w:p>
        </w:tc>
        <w:tc>
          <w:tcPr>
            <w:tcW w:w="23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Доля обучающихся в сельской местности по каждому уровню общего образования, занимающихся физи</w:t>
              <w:softHyphen/>
              <w:t>ческой культурой и спортом во внеуроч</w:t>
              <w:softHyphen/>
              <w:t>ное время</w:t>
            </w:r>
          </w:p>
        </w:tc>
        <w:tc>
          <w:tcPr>
            <w:tcW w:w="9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процент</w:t>
            </w:r>
          </w:p>
        </w:tc>
        <w:tc>
          <w:tcPr>
            <w:tcW w:w="1292" w:type="dxa"/>
            <w:tcBorders>
              <w:top w:val="single" w:sz="4" w:space="0" w:color="000000"/>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x</w:t>
            </w:r>
          </w:p>
          <w:p>
            <w:pPr>
              <w:pStyle w:val="Normal"/>
              <w:spacing w:lineRule="auto" w:line="240" w:before="0" w:after="0"/>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sz w:val="22"/>
                <w:szCs w:val="22"/>
                <w:lang w:eastAsia="ru-RU"/>
              </w:rPr>
              <w:t>Доля обучающихся в сельской местности по каждому уровню общего образования, занимающихся физи</w:t>
              <w:softHyphen/>
              <w:t>ческой культурой и спортом во внеуроч</w:t>
              <w:softHyphen/>
              <w:t>ное время, за 2025 год — 64,0%.</w:t>
            </w:r>
          </w:p>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Фактический показатель выше запланированного в связи с проведенной усиленной работой по привлечению обучающихся к занятиям спортом.</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ListParagraph"/>
              <w:numPr>
                <w:ilvl w:val="0"/>
                <w:numId w:val="0"/>
              </w:numPr>
              <w:spacing w:before="0" w:after="200"/>
              <w:ind w:hanging="0" w:left="-113" w:right="0"/>
              <w:contextualSpacing/>
              <w:rPr>
                <w:rFonts w:ascii="Times New Roman" w:hAnsi="Times New Roman" w:cs="Times New Roman"/>
                <w:sz w:val="22"/>
                <w:szCs w:val="22"/>
              </w:rPr>
            </w:pPr>
            <w:r>
              <w:rPr>
                <w:rFonts w:cs="Times New Roman" w:ascii="Times New Roman" w:hAnsi="Times New Roman"/>
                <w:sz w:val="22"/>
                <w:szCs w:val="22"/>
              </w:rPr>
              <w:t>Реализация мероприятий в рамках национального проекта «Молодежь и дети» региональных проектов «Все лучшее детям» и «Педагоги и наставники»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об</w:t>
              <w:softHyphen/>
              <w:t>разования»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образования   АТМО СК, образовательные организации округа</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x</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x</w:t>
            </w:r>
          </w:p>
        </w:tc>
        <w:tc>
          <w:tcPr>
            <w:tcW w:w="3569" w:type="dxa"/>
            <w:tcBorders>
              <w:left w:val="single" w:sz="4" w:space="0" w:color="000000"/>
              <w:bottom w:val="single" w:sz="4" w:space="0" w:color="000000"/>
              <w:right w:val="single" w:sz="4" w:space="0" w:color="000000"/>
            </w:tcBorders>
          </w:tcPr>
          <w:p>
            <w:pPr>
              <w:pStyle w:val="Normal"/>
              <w:widowControl/>
              <w:suppressAutoHyphens w:val="false"/>
              <w:bidi w:val="0"/>
              <w:spacing w:lineRule="auto" w:line="240" w:before="0" w:after="0"/>
              <w:ind w:hanging="0" w:right="0"/>
              <w:jc w:val="both"/>
              <w:rPr>
                <w:rFonts w:ascii="Times New Roman" w:hAnsi="Times New Roman"/>
                <w:sz w:val="22"/>
                <w:szCs w:val="22"/>
              </w:rPr>
            </w:pPr>
            <w:r>
              <w:rPr>
                <w:rFonts w:ascii="Times New Roman" w:hAnsi="Times New Roman"/>
                <w:b w:val="false"/>
                <w:bCs w:val="false"/>
                <w:sz w:val="22"/>
                <w:szCs w:val="22"/>
              </w:rPr>
              <w:t xml:space="preserve">В рамках регионального проекта «Педагоги и наставники» национального проекта «Молодежь и дети» инициированного Президентом Российской Федерации Путиным В.В. на 2025 год </w:t>
            </w:r>
            <w:r>
              <w:rPr>
                <w:rFonts w:cs="Times New Roman" w:ascii="Times New Roman" w:hAnsi="Times New Roman"/>
                <w:b w:val="false"/>
                <w:i w:val="false"/>
                <w:strike w:val="false"/>
                <w:dstrike w:val="false"/>
                <w:outline w:val="false"/>
                <w:shadow w:val="false"/>
                <w:sz w:val="22"/>
                <w:szCs w:val="22"/>
                <w:u w:val="none"/>
                <w:em w:val="none"/>
              </w:rPr>
              <w:t xml:space="preserve">предусмотрено и освоено </w:t>
            </w:r>
            <w:r>
              <w:rPr>
                <w:rFonts w:cs="Times New Roman" w:ascii="Times New Roman" w:hAnsi="Times New Roman"/>
                <w:b w:val="false"/>
                <w:i w:val="false"/>
                <w:strike w:val="false"/>
                <w:dstrike w:val="false"/>
                <w:outline w:val="false"/>
                <w:shadow w:val="false"/>
                <w:sz w:val="22"/>
                <w:szCs w:val="22"/>
                <w:u w:val="none"/>
                <w:shd w:fill="FFFFFF" w:val="clear"/>
                <w:em w:val="none"/>
              </w:rPr>
              <w:t xml:space="preserve">34,950 </w:t>
            </w:r>
            <w:r>
              <w:rPr>
                <w:rFonts w:cs="Times New Roman" w:ascii="Times New Roman" w:hAnsi="Times New Roman"/>
                <w:b w:val="false"/>
                <w:i w:val="false"/>
                <w:strike w:val="false"/>
                <w:dstrike w:val="false"/>
                <w:outline w:val="false"/>
                <w:shadow w:val="false"/>
                <w:sz w:val="22"/>
                <w:szCs w:val="22"/>
                <w:u w:val="none"/>
                <w:em w:val="none"/>
              </w:rPr>
              <w:t>млн. рублей, в том числе: федеральный бюджет — 34,497 млн. рублей, бюджет Ставропольского края — 453,0 тыс. рублей.</w:t>
            </w:r>
          </w:p>
        </w:tc>
      </w:tr>
      <w:tr>
        <w:trPr>
          <w:trHeight w:val="418" w:hRule="atLeast"/>
        </w:trPr>
        <w:tc>
          <w:tcPr>
            <w:tcW w:w="7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1.2.3.</w:t>
            </w:r>
          </w:p>
        </w:tc>
        <w:tc>
          <w:tcPr>
            <w:tcW w:w="14627" w:type="dxa"/>
            <w:gridSpan w:val="8"/>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Times New Roman" w:ascii="Times New Roman" w:hAnsi="Times New Roman"/>
                <w:color w:val="000000"/>
                <w:sz w:val="22"/>
                <w:szCs w:val="22"/>
                <w:lang w:eastAsia="ru-RU"/>
              </w:rPr>
              <w:t>С</w:t>
            </w:r>
            <w:r>
              <w:rPr>
                <w:rFonts w:eastAsia="" w:cs="Times New Roman" w:ascii="Times New Roman" w:hAnsi="Times New Roman"/>
                <w:color w:val="000000"/>
                <w:sz w:val="22"/>
                <w:szCs w:val="22"/>
                <w:lang w:eastAsia="ru-RU"/>
              </w:rPr>
              <w:t>оздание условий (кадровых, инфраструктурных, технологических), направленных на раскрытие потенциала каждого обучающегося</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Проведение творческих и интеллектуальных мероприятий и активное участие детей в краевых и общерос</w:t>
              <w:softHyphen/>
              <w:t>сийских мероприятиях и олимпиадах</w:t>
            </w:r>
          </w:p>
        </w:tc>
        <w:tc>
          <w:tcPr>
            <w:tcW w:w="18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об</w:t>
              <w:softHyphen/>
              <w:t>разования»</w:t>
            </w:r>
          </w:p>
        </w:tc>
        <w:tc>
          <w:tcPr>
            <w:tcW w:w="1763"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образования   АТМО СК, образовательные организации округа</w:t>
            </w:r>
          </w:p>
        </w:tc>
        <w:tc>
          <w:tcPr>
            <w:tcW w:w="23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lang w:eastAsia="ru-RU"/>
              </w:rPr>
            </w:pPr>
            <w:r>
              <w:rPr>
                <w:rFonts w:cs="Times New Roman" w:ascii="Times New Roman" w:hAnsi="Times New Roman"/>
                <w:sz w:val="22"/>
                <w:szCs w:val="22"/>
                <w:lang w:eastAsia="ru-RU"/>
              </w:rPr>
              <w:t>Доля детей в возрасте от 7 лет до 18 лет, участвующих в кон</w:t>
              <w:softHyphen/>
              <w:t>курсах, конферен</w:t>
              <w:softHyphen/>
              <w:t>циях, олимпиадах, в общей численности обучающихся обще</w:t>
              <w:softHyphen/>
              <w:t>образовательных ор</w:t>
              <w:softHyphen/>
              <w:t>ганизаций Туркмен</w:t>
              <w:softHyphen/>
              <w:t>ского муниципаль</w:t>
              <w:softHyphen/>
              <w:t>ного округа данной возрастной группы</w:t>
            </w:r>
          </w:p>
        </w:tc>
        <w:tc>
          <w:tcPr>
            <w:tcW w:w="9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процент</w:t>
            </w:r>
          </w:p>
        </w:tc>
        <w:tc>
          <w:tcPr>
            <w:tcW w:w="1292" w:type="dxa"/>
            <w:tcBorders>
              <w:top w:val="single" w:sz="4" w:space="0" w:color="000000"/>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p>
            <w:pPr>
              <w:pStyle w:val="Normal"/>
              <w:spacing w:lineRule="auto" w:line="240" w:before="0" w:after="0"/>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lang w:eastAsia="ru-RU"/>
              </w:rPr>
              <w:t>Доля детей в возрасте от 7 лет до 18 лет, участвующих в конкурсах, конференциях, олимпиадах, в общей численности обучающихся обще</w:t>
              <w:softHyphen/>
              <w:t>образовательных организаций Туркменского муниципального округа данной возрастной группы, за 2025 год — 55,9%.</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1.2.4.</w:t>
            </w:r>
          </w:p>
        </w:tc>
        <w:tc>
          <w:tcPr>
            <w:tcW w:w="14627" w:type="dxa"/>
            <w:gridSpan w:val="8"/>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t>Сохранение системы инклюзивного обучения, обеспечивающей расширение возможностей получения общего и дополнительного образования для детей с ограниченными возможностями здоровья</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cs="Times New Roman"/>
                <w:sz w:val="22"/>
                <w:szCs w:val="22"/>
                <w:lang w:eastAsia="en-US"/>
              </w:rPr>
            </w:pPr>
            <w:r>
              <w:rPr>
                <w:rFonts w:cs="Times New Roman" w:ascii="Times New Roman" w:hAnsi="Times New Roman"/>
                <w:sz w:val="22"/>
                <w:szCs w:val="22"/>
                <w:lang w:eastAsia="en-US"/>
              </w:rPr>
              <w:t>Улучшение материально-технической базы образовательных учреждений, осуществляющих инклюзивное образование, в том числе создание безбарьерной среды во всех образовательных учреждениях (устройство пандусов, подъемников)</w:t>
            </w:r>
          </w:p>
        </w:tc>
        <w:tc>
          <w:tcPr>
            <w:tcW w:w="18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об</w:t>
              <w:softHyphen/>
              <w:t>разования»</w:t>
            </w:r>
          </w:p>
        </w:tc>
        <w:tc>
          <w:tcPr>
            <w:tcW w:w="176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образования   АТМО СК, образовательные организации округа</w:t>
            </w:r>
          </w:p>
        </w:tc>
        <w:tc>
          <w:tcPr>
            <w:tcW w:w="23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Calibri" w:cs="Times New Roman"/>
                <w:sz w:val="22"/>
                <w:szCs w:val="22"/>
                <w:lang w:eastAsia="en-US"/>
              </w:rPr>
            </w:pPr>
            <w:r>
              <w:rPr>
                <w:rFonts w:eastAsia="Calibri" w:cs="Times New Roman" w:ascii="Times New Roman" w:hAnsi="Times New Roman"/>
                <w:sz w:val="22"/>
                <w:szCs w:val="22"/>
                <w:lang w:eastAsia="en-US"/>
              </w:rPr>
              <w:t>Доля  базовых обще</w:t>
              <w:softHyphen/>
              <w:t>образовательных ор</w:t>
              <w:softHyphen/>
              <w:t>ганизаций, в которых создана универсаль</w:t>
              <w:softHyphen/>
              <w:t>ная безбарьерная среда для инклюзивного образования детей-инвалидов, в общем количестве об</w:t>
              <w:softHyphen/>
              <w:t>щеобразовательных организаций</w:t>
            </w:r>
          </w:p>
        </w:tc>
        <w:tc>
          <w:tcPr>
            <w:tcW w:w="9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процент</w:t>
            </w:r>
          </w:p>
        </w:tc>
        <w:tc>
          <w:tcPr>
            <w:tcW w:w="1292" w:type="dxa"/>
            <w:tcBorders>
              <w:top w:val="single" w:sz="4" w:space="0" w:color="000000"/>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p>
            <w:pPr>
              <w:pStyle w:val="Normal"/>
              <w:spacing w:lineRule="auto" w:line="240" w:before="0" w:after="0"/>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rPr>
                <w:rFonts w:eastAsia="Calibri" w:cs="Times New Roman" w:ascii="Times New Roman" w:hAnsi="Times New Roman"/>
                <w:sz w:val="22"/>
                <w:szCs w:val="22"/>
                <w:lang w:eastAsia="en-US"/>
              </w:rPr>
              <w:t xml:space="preserve">Доля  базовых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 </w:t>
            </w:r>
            <w:r>
              <w:rPr>
                <w:rFonts w:eastAsia="" w:cs="Times New Roman" w:ascii="Times New Roman" w:hAnsi="Times New Roman"/>
                <w:sz w:val="22"/>
                <w:szCs w:val="22"/>
                <w:lang w:eastAsia="ru-RU"/>
              </w:rPr>
              <w:t>95%. П</w:t>
            </w:r>
            <w:r>
              <w:rPr>
                <w:rFonts w:eastAsia="" w:cs="Times New Roman" w:ascii="Times New Roman" w:hAnsi="Times New Roman"/>
                <w:sz w:val="22"/>
                <w:szCs w:val="22"/>
                <w:shd w:fill="FFFFFF" w:val="clear"/>
                <w:lang w:eastAsia="ru-RU"/>
              </w:rPr>
              <w:t>оказатель увеличился за счет создания безбарьерной среды в образовательных учреждениях (в МКОУ СОШ №2).</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Обеспечение дистанционного обучения детей-инвалидов.</w:t>
            </w:r>
          </w:p>
        </w:tc>
        <w:tc>
          <w:tcPr>
            <w:tcW w:w="18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Внепрограммные ме</w:t>
              <w:softHyphen/>
              <w:t>роприятия</w:t>
            </w:r>
          </w:p>
        </w:tc>
        <w:tc>
          <w:tcPr>
            <w:tcW w:w="176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образования   АТМО СК, образовательные организации округа</w:t>
            </w:r>
          </w:p>
        </w:tc>
        <w:tc>
          <w:tcPr>
            <w:tcW w:w="23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Доля детей-инвали</w:t>
              <w:softHyphen/>
              <w:t>дов, обучающихся в общеобразователь</w:t>
              <w:softHyphen/>
              <w:t>ных организациях с использованием дис</w:t>
              <w:softHyphen/>
              <w:t>танционных образо</w:t>
              <w:softHyphen/>
              <w:t>вательных техноло</w:t>
              <w:softHyphen/>
              <w:t>гий, в общей числен</w:t>
              <w:softHyphen/>
              <w:t>ности обратившихся в общеобразователь</w:t>
              <w:softHyphen/>
              <w:t>ные организации округа</w:t>
            </w:r>
          </w:p>
        </w:tc>
        <w:tc>
          <w:tcPr>
            <w:tcW w:w="9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процент</w:t>
            </w:r>
          </w:p>
        </w:tc>
        <w:tc>
          <w:tcPr>
            <w:tcW w:w="1292" w:type="dxa"/>
            <w:tcBorders>
              <w:top w:val="single" w:sz="4" w:space="0" w:color="000000"/>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x</w:t>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Доля детей-инвалидов, обучающихся в общеобразовательных организациях с использованием дис</w:t>
              <w:softHyphen/>
              <w:t>танционных образовательных технологий, в общей численности обратившихся в общеобразователь</w:t>
              <w:softHyphen/>
              <w:t>ные организации ок</w:t>
              <w:softHyphen/>
              <w:t>руга — 100%.</w:t>
            </w:r>
          </w:p>
        </w:tc>
      </w:tr>
      <w:tr>
        <w:trPr>
          <w:trHeight w:val="302" w:hRule="atLeast"/>
        </w:trPr>
        <w:tc>
          <w:tcPr>
            <w:tcW w:w="7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1.2.5.</w:t>
            </w:r>
          </w:p>
        </w:tc>
        <w:tc>
          <w:tcPr>
            <w:tcW w:w="14627" w:type="dxa"/>
            <w:gridSpan w:val="8"/>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lang w:eastAsia="ru-RU"/>
              </w:rPr>
            </w:pPr>
            <w:r>
              <w:rPr>
                <w:rFonts w:cs="Times New Roman" w:ascii="Times New Roman" w:hAnsi="Times New Roman"/>
                <w:sz w:val="22"/>
                <w:szCs w:val="22"/>
                <w:lang w:eastAsia="ru-RU"/>
              </w:rPr>
              <w:t>Совершенствование системы патриотического воспитания обучающихся образовательных учреждений</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Проведение традиционных мероприятий, акций, фестивалей, конкурсов, направленных на формирование социальной активности, гражданственности и патриотизма</w:t>
            </w:r>
          </w:p>
          <w:p>
            <w:pPr>
              <w:pStyle w:val="Normal"/>
              <w:spacing w:lineRule="auto" w:line="240" w:before="0" w:after="0"/>
              <w:rPr>
                <w:rFonts w:ascii="Times New Roman" w:hAnsi="Times New Roman" w:cs="Times New Roman"/>
                <w:i/>
                <w:i/>
                <w:iCs/>
                <w:sz w:val="22"/>
                <w:szCs w:val="22"/>
              </w:rPr>
            </w:pPr>
            <w:r>
              <w:rPr>
                <w:rFonts w:cs="Times New Roman" w:ascii="Times New Roman" w:hAnsi="Times New Roman"/>
                <w:i/>
                <w:iCs/>
                <w:sz w:val="22"/>
                <w:szCs w:val="22"/>
              </w:rPr>
            </w:r>
          </w:p>
        </w:tc>
        <w:tc>
          <w:tcPr>
            <w:tcW w:w="184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Внепрограммные ме</w:t>
              <w:softHyphen/>
              <w:t>роприятия</w:t>
            </w:r>
          </w:p>
        </w:tc>
        <w:tc>
          <w:tcPr>
            <w:tcW w:w="176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образования   АТМО СК, образовательные организации округа</w:t>
            </w:r>
          </w:p>
        </w:tc>
        <w:tc>
          <w:tcPr>
            <w:tcW w:w="23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Доля детей, состоя</w:t>
              <w:softHyphen/>
              <w:t>щих на всех видах профилактического учета (от общей чис</w:t>
              <w:softHyphen/>
              <w:t>ленности, обучаю</w:t>
              <w:softHyphen/>
              <w:t>щихся в округе</w:t>
            </w:r>
          </w:p>
        </w:tc>
        <w:tc>
          <w:tcPr>
            <w:tcW w:w="9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процент</w:t>
            </w:r>
          </w:p>
        </w:tc>
        <w:tc>
          <w:tcPr>
            <w:tcW w:w="1292" w:type="dxa"/>
            <w:tcBorders>
              <w:top w:val="single" w:sz="4" w:space="0" w:color="000000"/>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auto" w:val="clear"/>
                <w:lang w:eastAsia="ru-RU"/>
              </w:rPr>
            </w:pPr>
            <w:r>
              <w:rPr>
                <w:rFonts w:eastAsia="" w:cs="Times New Roman" w:ascii="Times New Roman" w:hAnsi="Times New Roman"/>
                <w:sz w:val="22"/>
                <w:szCs w:val="22"/>
                <w:shd w:fill="auto" w:val="clear"/>
                <w:lang w:eastAsia="ru-RU"/>
              </w:rPr>
              <w:t>x</w:t>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auto" w:val="clear"/>
                <w:lang w:eastAsia="ru-RU"/>
              </w:rPr>
            </w:pPr>
            <w:r>
              <w:rPr>
                <w:rFonts w:eastAsia="" w:cs="Times New Roman" w:ascii="Times New Roman" w:hAnsi="Times New Roman"/>
                <w:sz w:val="22"/>
                <w:szCs w:val="22"/>
                <w:shd w:fill="auto" w:val="clear"/>
                <w:lang w:eastAsia="ru-RU"/>
              </w:rPr>
              <w:t>Доля детей, состоя</w:t>
              <w:softHyphen/>
              <w:t>щих на всех видах профилактического учета (от общей численности, обучаю</w:t>
              <w:softHyphen/>
              <w:t>щихся в округе — 0,4%. Показатель уменьшился за счет уменьшения  правонарушений несовершеннолетними вследствие усиленной работы по формированию гражданственности и патриотизма.</w:t>
            </w:r>
          </w:p>
        </w:tc>
      </w:tr>
      <w:tr>
        <w:trPr/>
        <w:tc>
          <w:tcPr>
            <w:tcW w:w="7192" w:type="dxa"/>
            <w:gridSpan w:val="5"/>
            <w:vMerge w:val="restart"/>
            <w:tcBorders>
              <w:left w:val="single" w:sz="4" w:space="0" w:color="000000"/>
              <w:bottom w:val="single" w:sz="4" w:space="0" w:color="000000"/>
              <w:right w:val="single" w:sz="4" w:space="0" w:color="000000"/>
            </w:tcBorders>
          </w:tcPr>
          <w:p>
            <w:pPr>
              <w:pStyle w:val="Normal"/>
              <w:spacing w:lineRule="auto" w:line="240" w:before="0" w:after="0"/>
              <w:jc w:val="left"/>
              <w:rPr>
                <w:rFonts w:ascii="Times New Roman" w:hAnsi="Times New Roman" w:eastAsia="" w:cs="Times New Roman"/>
                <w:lang w:eastAsia="ru-RU"/>
              </w:rPr>
            </w:pPr>
            <w:r>
              <w:rPr>
                <w:rFonts w:eastAsia="" w:cs="Times New Roman" w:ascii="Times New Roman" w:hAnsi="Times New Roman"/>
                <w:b/>
                <w:bCs/>
                <w:sz w:val="22"/>
                <w:szCs w:val="22"/>
                <w:lang w:eastAsia="ru-RU"/>
              </w:rPr>
              <w:t>1.3. Развитие культуры</w:t>
            </w:r>
          </w:p>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r>
          </w:p>
        </w:tc>
        <w:tc>
          <w:tcPr>
            <w:tcW w:w="234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Число посещений культурных меро</w:t>
              <w:softHyphen/>
              <w:t>приятий</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тыс. 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auto" w:val="clear"/>
                <w:lang w:eastAsia="ru-RU"/>
              </w:rPr>
            </w:pPr>
            <w:r>
              <w:rPr>
                <w:rFonts w:eastAsia="" w:cs="Times New Roman" w:ascii="Times New Roman" w:hAnsi="Times New Roman"/>
                <w:sz w:val="22"/>
                <w:szCs w:val="22"/>
                <w:shd w:fill="auto" w:val="clear"/>
                <w:lang w:eastAsia="ru-RU"/>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pPr>
            <w:r>
              <w:rPr>
                <w:rFonts w:cs="Times New Roman" w:ascii="Times New Roman" w:hAnsi="Times New Roman"/>
                <w:color w:val="000000"/>
                <w:sz w:val="22"/>
                <w:szCs w:val="22"/>
                <w:shd w:fill="auto" w:val="clear"/>
              </w:rPr>
              <w:t>Число посещений культурных меро</w:t>
              <w:softHyphen/>
              <w:t>приятий в 2025 году — 29</w:t>
            </w:r>
            <w:r>
              <w:rPr>
                <w:rFonts w:eastAsia="" w:cs="Times New Roman" w:ascii="Times New Roman" w:hAnsi="Times New Roman"/>
                <w:color w:val="000000"/>
                <w:sz w:val="22"/>
                <w:szCs w:val="22"/>
                <w:shd w:fill="auto" w:val="clear"/>
                <w:lang w:eastAsia="ru-RU"/>
              </w:rPr>
              <w:t>8,592 тыс. единиц.</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4"/>
                <w:szCs w:val="24"/>
                <w:shd w:fill="FFFFFF" w:val="clear"/>
                <w:lang w:eastAsia="ru-RU"/>
              </w:rPr>
            </w:pPr>
            <w:r>
              <w:rPr>
                <w:rFonts w:eastAsia="" w:cs="Times New Roman" w:ascii="Times New Roman" w:hAnsi="Times New Roman"/>
                <w:sz w:val="24"/>
                <w:szCs w:val="24"/>
                <w:shd w:fill="FFFFFF" w:val="clear"/>
                <w:lang w:eastAsia="ru-RU"/>
              </w:rPr>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Численность участ</w:t>
              <w:softHyphen/>
              <w:t>ников культурно-до</w:t>
              <w:softHyphen/>
              <w:t>суговых формирова</w:t>
              <w:softHyphen/>
              <w:t>ний, в общей числен</w:t>
              <w:softHyphen/>
              <w:t>ности населения</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процент</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auto" w:val="clear"/>
                <w:lang w:eastAsia="ru-RU"/>
              </w:rPr>
            </w:pPr>
            <w:r>
              <w:rPr>
                <w:rFonts w:eastAsia="" w:cs="Times New Roman" w:ascii="Times New Roman" w:hAnsi="Times New Roman"/>
                <w:sz w:val="22"/>
                <w:szCs w:val="22"/>
                <w:shd w:fill="auto" w:val="clear"/>
                <w:lang w:eastAsia="ru-RU"/>
              </w:rPr>
              <w:t>x</w:t>
            </w:r>
          </w:p>
          <w:p>
            <w:pPr>
              <w:pStyle w:val="Normal"/>
              <w:spacing w:lineRule="auto" w:line="240" w:before="0" w:after="0"/>
              <w:jc w:val="center"/>
              <w:rPr>
                <w:rFonts w:ascii="Times New Roman" w:hAnsi="Times New Roman" w:eastAsia="" w:cs="Times New Roman"/>
                <w:sz w:val="22"/>
                <w:szCs w:val="22"/>
                <w:shd w:fill="auto" w:val="clear"/>
                <w:lang w:eastAsia="ru-RU"/>
              </w:rPr>
            </w:pPr>
            <w:r>
              <w:rPr>
                <w:rFonts w:eastAsia="" w:cs="Times New Roman" w:ascii="Times New Roman" w:hAnsi="Times New Roman"/>
                <w:sz w:val="22"/>
                <w:szCs w:val="22"/>
                <w:shd w:fill="auto" w:val="clear"/>
                <w:lang w:eastAsia="ru-RU"/>
              </w:rPr>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color w:val="000000"/>
                <w:sz w:val="22"/>
                <w:szCs w:val="22"/>
                <w:shd w:fill="auto" w:val="clear"/>
                <w:lang w:eastAsia="ru-RU"/>
              </w:rPr>
              <w:t>Численность участ</w:t>
              <w:softHyphen/>
              <w:t>ников культурно-до</w:t>
              <w:softHyphen/>
              <w:t>суговых формирова</w:t>
              <w:softHyphen/>
              <w:t>ний, в общей численности населения — 19,0%.</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4"/>
                <w:szCs w:val="24"/>
                <w:shd w:fill="FFFFFF" w:val="clear"/>
                <w:lang w:eastAsia="ru-RU"/>
              </w:rPr>
            </w:pPr>
            <w:r>
              <w:rPr>
                <w:rFonts w:eastAsia="" w:cs="Times New Roman" w:ascii="Times New Roman" w:hAnsi="Times New Roman"/>
                <w:sz w:val="24"/>
                <w:szCs w:val="24"/>
                <w:shd w:fill="FFFFFF" w:val="clear"/>
                <w:lang w:eastAsia="ru-RU"/>
              </w:rPr>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Доля муниципальных учреждений куль</w:t>
              <w:softHyphen/>
              <w:t>туры, здания которых находятся в аварий</w:t>
              <w:softHyphen/>
              <w:t>ном состоянии или требуют капиталь</w:t>
              <w:softHyphen/>
              <w:t>ного ремонта, в об</w:t>
              <w:softHyphen/>
              <w:t>щем количестве муниципальных учреж</w:t>
              <w:softHyphen/>
              <w:t>дений</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процент</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auto" w:val="clear"/>
                <w:lang w:eastAsia="ru-RU"/>
              </w:rPr>
            </w:pPr>
            <w:r>
              <w:rPr>
                <w:rFonts w:eastAsia="" w:cs="Times New Roman" w:ascii="Times New Roman" w:hAnsi="Times New Roman"/>
                <w:sz w:val="22"/>
                <w:szCs w:val="22"/>
                <w:shd w:fill="auto" w:val="clear"/>
                <w:lang w:eastAsia="ru-RU"/>
              </w:rPr>
              <w:t>x</w:t>
            </w:r>
          </w:p>
          <w:p>
            <w:pPr>
              <w:pStyle w:val="Normal"/>
              <w:spacing w:lineRule="auto" w:line="240" w:before="0" w:after="0"/>
              <w:jc w:val="center"/>
              <w:rPr>
                <w:rFonts w:ascii="Times New Roman" w:hAnsi="Times New Roman" w:eastAsia="" w:cs="Times New Roman"/>
                <w:sz w:val="22"/>
                <w:szCs w:val="22"/>
                <w:shd w:fill="auto" w:val="clear"/>
                <w:lang w:eastAsia="ru-RU"/>
              </w:rPr>
            </w:pPr>
            <w:r>
              <w:rPr>
                <w:rFonts w:eastAsia="" w:cs="Times New Roman" w:ascii="Times New Roman" w:hAnsi="Times New Roman"/>
                <w:sz w:val="22"/>
                <w:szCs w:val="22"/>
                <w:shd w:fill="auto" w:val="clear"/>
                <w:lang w:eastAsia="ru-RU"/>
              </w:rPr>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Доля муниципальных учреждений куль</w:t>
              <w:softHyphen/>
              <w:t>туры, здания которых находятся в аварий</w:t>
              <w:softHyphen/>
              <w:t>ном состоянии или требуют капиталь</w:t>
              <w:softHyphen/>
              <w:t>ного ремонта, в об</w:t>
              <w:softHyphen/>
              <w:t>щем количестве муниципальных учреж</w:t>
              <w:softHyphen/>
              <w:t>дений — 40,0%.</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1.3.1.</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Сохранение и популяризация культурно-исторического наследия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Обеспечение сохранности, эффективного использования и популяризация объектов культурного насле</w:t>
              <w:softHyphen/>
              <w:t>дия, достопримечательных мест</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культуры»</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культуры АТМО СК, МКУК «Межпоселенче</w:t>
              <w:softHyphen/>
              <w:t>ская центральная библиотека», УДО «Детская школа искусств» 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В региональный реестр объектов нематериального этнокультурного достояния в 2025 году внесено два объекта ОНЭД: Туркменский свадебный обряд. Сватовство невесты. (а. Сабан-Антуста); Легенда об Айгурке. (с. Малые Ягуры). Все объекты культурного насле</w:t>
              <w:softHyphen/>
              <w:t>дия находятся в удовлетворительном состоянии, постоянно проводится уборка прилегающих территорий на всех мемориальных объектах и уход для поддержания удовлетворительного состояния объектов.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Увековечивание памяти о жителях округа, внесших весомый вклад в развитие округа, Ставропольского края и Российской Федерации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w:t>
              <w:softHyphen/>
              <w:t>грамма «Развитие культуры»</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культуры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highlight w:val="none"/>
                <w:shd w:fill="auto" w:val="clear"/>
              </w:rPr>
            </w:pPr>
            <w:r>
              <w:rPr>
                <w:rFonts w:cs="Times New Roman" w:ascii="Times New Roman" w:hAnsi="Times New Roman"/>
                <w:sz w:val="22"/>
                <w:szCs w:val="22"/>
                <w:shd w:fill="auto"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jc w:val="both"/>
              <w:rPr>
                <w:highlight w:val="none"/>
                <w:shd w:fill="auto" w:val="clear"/>
              </w:rPr>
            </w:pPr>
            <w:r>
              <w:rPr>
                <w:rFonts w:ascii="Times New Roman" w:hAnsi="Times New Roman"/>
                <w:sz w:val="22"/>
                <w:szCs w:val="22"/>
                <w:shd w:fill="auto" w:val="clear"/>
              </w:rPr>
              <w:t>В учреждениях культуры Туркменского муниципального округа функционируют музейные комнаты, которые хранят фото и материалы о людях,  оставивших неизгладимый след в истории нашего округа. В МКУК «Казгулакский ЦКиД» ТМО СК, «Малоягурский ЦКиД» ТМО СК, «Кендже Кулакский ЦКиД» ТМО СК, МКУ «Социально-культурный центр» ТМО СК и в сельском доме культуры поселка Березовский е</w:t>
            </w:r>
            <w:r>
              <w:rPr>
                <w:rFonts w:cs="Times New Roman" w:ascii="Times New Roman" w:hAnsi="Times New Roman"/>
                <w:color w:val="000000"/>
                <w:sz w:val="22"/>
                <w:szCs w:val="22"/>
                <w:shd w:fill="auto" w:val="clear"/>
              </w:rPr>
              <w:t>жемесячно проводятся тематические мероприятия, рассказывающие о  подвигах наших земляков, тружениках, героях Социалистического труда, чей вклад навсегда остался в памяти нашего округа.</w:t>
            </w:r>
          </w:p>
          <w:p>
            <w:pPr>
              <w:pStyle w:val="Normal"/>
              <w:spacing w:lineRule="auto" w:line="240"/>
              <w:jc w:val="both"/>
              <w:rPr>
                <w:highlight w:val="none"/>
                <w:shd w:fill="auto" w:val="clear"/>
              </w:rPr>
            </w:pPr>
            <w:r>
              <w:rPr>
                <w:rFonts w:cs="Times New Roman" w:ascii="Times New Roman" w:hAnsi="Times New Roman"/>
                <w:color w:val="000000"/>
                <w:sz w:val="22"/>
                <w:szCs w:val="22"/>
                <w:shd w:fill="auto" w:val="clear"/>
              </w:rPr>
              <w:t>В рамках празднования Дня Ставропольского края, работники Кендже-Кулакского Дома культуры и библиотеки провели акцию «С милым краем дышу заодно». Библиотекарь рассказала о достопримечательностях, о людях, чьи достижения принесли славу нашей малой Родине. Также жителям были розданы брелочки и календарики.</w:t>
            </w:r>
          </w:p>
          <w:p>
            <w:pPr>
              <w:pStyle w:val="Normal"/>
              <w:snapToGrid w:val="false"/>
              <w:spacing w:lineRule="auto" w:line="240" w:before="0" w:after="0"/>
              <w:jc w:val="both"/>
              <w:rPr>
                <w:highlight w:val="none"/>
                <w:shd w:fill="auto" w:val="clear"/>
              </w:rPr>
            </w:pPr>
            <w:r>
              <w:rPr>
                <w:rFonts w:cs="Times New Roman" w:ascii="Times New Roman" w:hAnsi="Times New Roman"/>
                <w:color w:val="000000"/>
                <w:sz w:val="22"/>
                <w:szCs w:val="22"/>
                <w:shd w:fill="auto" w:val="clear"/>
              </w:rPr>
              <w:t>В декабре 2025 года в Социально-культурном центре прошла встреча, посвящённая 110-летию со дня рождения Тойкеева Джумы Тойкеевича. Джума Тойкеевич был известной личностью в Туркменском и соседних районах. Ветеран педагогического труда, отличник народного просвещения РСФСР, обладатель премии «Лучшему сельскому учителю» - лишь часть званий и наград нашего именитого земляка. Своими воспоминаниями о нём поделись в ходе встречи родные и близкие Д.Т. Тойкеева. Мероприятие было организовано при сетевом взаимодействии СКЦ, СОШ №1 с. Летняя Ставка, СОШ №8 а. Куликовы Копани, СОШ №14 и МДОУ Детский сад № 27 а. Эдельбай.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1.3.2.</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Times New Roman" w:cs="Times New Roman" w:ascii="Times New Roman" w:hAnsi="Times New Roman"/>
                <w:sz w:val="22"/>
                <w:szCs w:val="22"/>
              </w:rPr>
              <w:t xml:space="preserve"> </w:t>
            </w:r>
            <w:r>
              <w:rPr>
                <w:rFonts w:cs="Times New Roman" w:ascii="Times New Roman" w:hAnsi="Times New Roman"/>
                <w:sz w:val="22"/>
                <w:szCs w:val="22"/>
              </w:rPr>
              <w:t>Развитие современной культурно-досуговой инфраструктуры с комфортными условиями, широким спектром и высоким качеством услуг, доступных для различных категорий населения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shd w:fill="FFFFFF" w:val="clear"/>
              </w:rPr>
            </w:pPr>
            <w:r>
              <w:rPr>
                <w:rFonts w:cs="Times New Roman" w:ascii="Times New Roman" w:hAnsi="Times New Roman"/>
                <w:sz w:val="24"/>
                <w:szCs w:val="24"/>
                <w:shd w:fill="FFFFFF" w:val="clear"/>
              </w:rPr>
              <w:t>а)</w:t>
            </w:r>
          </w:p>
        </w:tc>
        <w:tc>
          <w:tcPr>
            <w:tcW w:w="2863" w:type="dxa"/>
            <w:tcBorders>
              <w:left w:val="single" w:sz="4" w:space="0" w:color="000000"/>
              <w:bottom w:val="single" w:sz="4" w:space="0" w:color="000000"/>
              <w:right w:val="single" w:sz="4" w:space="0" w:color="000000"/>
            </w:tcBorders>
          </w:tcPr>
          <w:p>
            <w:pPr>
              <w:pStyle w:val="Default"/>
              <w:spacing w:before="0" w:after="200"/>
              <w:jc w:val="both"/>
              <w:rPr>
                <w:rFonts w:ascii="Times New Roman" w:hAnsi="Times New Roman" w:cs="Times New Roman"/>
                <w:sz w:val="22"/>
                <w:szCs w:val="22"/>
                <w:shd w:fill="FFFFFF" w:val="clear"/>
              </w:rPr>
            </w:pPr>
            <w:r>
              <w:rPr>
                <w:rFonts w:cs="Times New Roman"/>
                <w:sz w:val="22"/>
                <w:szCs w:val="22"/>
                <w:shd w:fill="FFFFFF" w:val="clear"/>
              </w:rPr>
              <w:t>Приобретение театральных кресел, мебели  для клубных формирований, музыкальных инструментов, в рамках  государственной программы Ставропольского края «Сохранение и развитие культуры»</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shd w:fill="FFFFFF" w:val="clear"/>
              </w:rPr>
            </w:pPr>
            <w:r>
              <w:rPr>
                <w:rFonts w:cs="Times New Roman" w:ascii="Times New Roman" w:hAnsi="Times New Roman"/>
                <w:color w:val="000000"/>
                <w:sz w:val="22"/>
                <w:szCs w:val="22"/>
                <w:shd w:fill="FFFFFF" w:val="clear"/>
              </w:rPr>
              <w:t>Муниципальная про</w:t>
              <w:softHyphen/>
              <w:t>грамма «Развитие  культуры»</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Управление культуры АТМО СК, центры культуры терри</w:t>
              <w:softHyphen/>
              <w:t>ториальных управлений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20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pacing w:lineRule="auto" w:line="240" w:before="0" w:after="0"/>
              <w:jc w:val="center"/>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Default"/>
              <w:widowControl/>
              <w:suppressAutoHyphens w:val="true"/>
              <w:bidi w:val="0"/>
              <w:spacing w:lineRule="auto" w:line="240" w:before="0" w:after="200"/>
              <w:ind w:hanging="0" w:right="0"/>
              <w:jc w:val="both"/>
              <w:rPr/>
            </w:pPr>
            <w:r>
              <w:rPr>
                <w:rFonts w:cs="Times New Roman"/>
                <w:i w:val="false"/>
                <w:iCs w:val="false"/>
                <w:sz w:val="22"/>
                <w:szCs w:val="22"/>
                <w:shd w:fill="FFFFFF" w:val="clear"/>
              </w:rPr>
              <w:t>По госпрограмме Ставропольского края «Сохранение и развитие культуры» подпрограммы «Государственная поддержка отрасли культуры» в 2025 году п</w:t>
            </w:r>
            <w:r>
              <w:rPr>
                <w:rFonts w:cs="Times New Roman"/>
                <w:b w:val="false"/>
                <w:i w:val="false"/>
                <w:iCs w:val="false"/>
                <w:strike w:val="false"/>
                <w:dstrike w:val="false"/>
                <w:outline w:val="false"/>
                <w:shadow w:val="false"/>
                <w:color w:val="000000"/>
                <w:sz w:val="22"/>
                <w:szCs w:val="22"/>
                <w:u w:val="none"/>
                <w:shd w:fill="FFFFFF" w:val="clear"/>
                <w:em w:val="none"/>
              </w:rPr>
              <w:t>риобретена мебель, музыкальная колонка, жалюзи для МКУК «МЦБ ТМО СК».</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shd w:fill="FFFFFF" w:val="clear"/>
              </w:rPr>
            </w:pPr>
            <w:r>
              <w:rPr>
                <w:rFonts w:cs="Times New Roman" w:ascii="Times New Roman" w:hAnsi="Times New Roman"/>
                <w:sz w:val="24"/>
                <w:szCs w:val="24"/>
                <w:shd w:fill="FFFFFF" w:val="clear"/>
              </w:rPr>
              <w:t>б)</w:t>
            </w:r>
          </w:p>
        </w:tc>
        <w:tc>
          <w:tcPr>
            <w:tcW w:w="2863" w:type="dxa"/>
            <w:tcBorders>
              <w:left w:val="single" w:sz="4" w:space="0" w:color="000000"/>
              <w:bottom w:val="single" w:sz="4" w:space="0" w:color="000000"/>
              <w:right w:val="single" w:sz="4" w:space="0" w:color="000000"/>
            </w:tcBorders>
          </w:tcPr>
          <w:p>
            <w:pPr>
              <w:pStyle w:val="Default"/>
              <w:jc w:val="both"/>
              <w:rPr>
                <w:rFonts w:ascii="Times New Roman" w:hAnsi="Times New Roman" w:cs="Times New Roman"/>
                <w:sz w:val="22"/>
                <w:szCs w:val="22"/>
                <w:shd w:fill="FFFFFF" w:val="clear"/>
              </w:rPr>
            </w:pPr>
            <w:r>
              <w:rPr>
                <w:rFonts w:cs="Times New Roman"/>
                <w:sz w:val="22"/>
                <w:szCs w:val="22"/>
                <w:shd w:fill="FFFFFF" w:val="clear"/>
              </w:rPr>
              <w:t>Проведение «Капитального ремонта внутренних помещений здания МКУК «Межпоселенческая цен-</w:t>
            </w:r>
          </w:p>
          <w:p>
            <w:pPr>
              <w:pStyle w:val="Default"/>
              <w:spacing w:before="0" w:after="200"/>
              <w:jc w:val="both"/>
              <w:rPr>
                <w:rFonts w:ascii="Times New Roman" w:hAnsi="Times New Roman" w:cs="Times New Roman"/>
                <w:sz w:val="22"/>
                <w:szCs w:val="22"/>
                <w:shd w:fill="FFFFFF" w:val="clear"/>
              </w:rPr>
            </w:pPr>
            <w:r>
              <w:rPr>
                <w:rFonts w:cs="Times New Roman"/>
                <w:sz w:val="22"/>
                <w:szCs w:val="22"/>
                <w:shd w:fill="FFFFFF" w:val="clear"/>
              </w:rPr>
              <w:t>тральная библиотека»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shd w:fill="FFFFFF" w:val="clear"/>
              </w:rPr>
            </w:pPr>
            <w:r>
              <w:rPr>
                <w:rFonts w:cs="Times New Roman" w:ascii="Times New Roman" w:hAnsi="Times New Roman"/>
                <w:color w:val="000000"/>
                <w:sz w:val="22"/>
                <w:szCs w:val="22"/>
                <w:shd w:fill="FFFFFF" w:val="clear"/>
              </w:rPr>
              <w:t>Муниципальная про</w:t>
              <w:softHyphen/>
              <w:t>грамма «Развитие  культуры»</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Управление культуры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20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widowControl/>
              <w:suppressAutoHyphens w:val="false"/>
              <w:bidi w:val="0"/>
              <w:spacing w:lineRule="auto" w:line="240" w:before="0" w:after="0"/>
              <w:ind w:hanging="0" w:right="0"/>
              <w:jc w:val="both"/>
              <w:rPr/>
            </w:pP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 xml:space="preserve">В 2025 году реализовался региональный проект «Семейные ценности и инфраструктура культуры» национального проекта «Семья», </w:t>
            </w:r>
            <w:r>
              <w:rPr>
                <w:rFonts w:cs="Times New Roman" w:ascii="Times New Roman" w:hAnsi="Times New Roman"/>
                <w:b w:val="false"/>
                <w:bCs w:val="false"/>
                <w:i w:val="false"/>
                <w:strike w:val="false"/>
                <w:dstrike w:val="false"/>
                <w:outline w:val="false"/>
                <w:shadow w:val="false"/>
                <w:color w:val="000000"/>
                <w:sz w:val="22"/>
                <w:szCs w:val="22"/>
                <w:u w:val="none"/>
                <w:shd w:fill="auto" w:val="clear"/>
                <w:em w:val="none"/>
              </w:rPr>
              <w:t>инициированного Президентом Российской Федерации Путиным В.В. В рамках д</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анного проекта предусмотрено о</w:t>
            </w:r>
            <w:r>
              <w:rPr>
                <w:rFonts w:cs="Times New Roman" w:ascii="Times New Roman" w:hAnsi="Times New Roman"/>
                <w:b w:val="false"/>
                <w:i w:val="false"/>
                <w:strike w:val="false"/>
                <w:dstrike w:val="false"/>
                <w:outline w:val="false"/>
                <w:shadow w:val="false"/>
                <w:sz w:val="22"/>
                <w:szCs w:val="22"/>
                <w:u w:val="none"/>
                <w:shd w:fill="auto" w:val="clear"/>
                <w:em w:val="none"/>
              </w:rPr>
              <w:t xml:space="preserve">казание услуг по осуществлению строительного контроля за выполнением работ на объекте капитальный ремонт здания МКУК «Межпоселенческая центральная библиотека» и капитальный ремонт здания МКУК «Межпоселенческая центральная библиотека», расположенного по адресу: Ставропольский край, Туркменский район, с. Летняя Ставка, ул. Советская, д. 13.  </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 xml:space="preserve">На 2025 год  предусмотрено </w:t>
            </w:r>
            <w:r>
              <w:rPr>
                <w:rFonts w:cs="Times New Roman" w:ascii="Times New Roman" w:hAnsi="Times New Roman"/>
                <w:b w:val="false"/>
                <w:i w:val="false"/>
                <w:strike w:val="false"/>
                <w:dstrike w:val="false"/>
                <w:outline w:val="false"/>
                <w:shadow w:val="false"/>
                <w:color w:val="000000"/>
                <w:sz w:val="22"/>
                <w:szCs w:val="22"/>
                <w:u w:val="none"/>
                <w:shd w:fill="FFFFFF" w:val="clear"/>
                <w:em w:val="none"/>
              </w:rPr>
              <w:t>7,768 млн. рублей (7,306 млн. руб. — федеральный бюджет, 73,80 тыс. руб — бюджет Ставропольского края, 388,44 тыс. руб — бюджет Туркменского муниципального округа),  освоено 7,768 млн. рублей (7,306 млн. руб. — федеральный бюджет, 73,80 тыс. руб — бюджет Ставропольского края, 388,44 тыс. руб — бюджет Туркменского муниципального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hd w:fill="FFFFFF" w:val="clear"/>
              </w:rPr>
            </w:pPr>
            <w:r>
              <w:rPr>
                <w:rFonts w:cs="Times New Roman" w:ascii="Times New Roman" w:hAnsi="Times New Roman"/>
                <w:shd w:fill="FFFFFF" w:val="clear"/>
              </w:rPr>
              <w:t>д)</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Осуществление системной работы по информатизации муниципальных библиотек, комплектование библио</w:t>
              <w:softHyphen/>
              <w:t>течных фондов новой литературой</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shd w:fill="FFFFFF" w:val="clear"/>
              </w:rPr>
            </w:pPr>
            <w:r>
              <w:rPr>
                <w:rFonts w:cs="Times New Roman" w:ascii="Times New Roman" w:hAnsi="Times New Roman"/>
                <w:color w:val="000000"/>
                <w:sz w:val="22"/>
                <w:szCs w:val="22"/>
                <w:shd w:fill="FFFFFF" w:val="clear"/>
              </w:rPr>
              <w:t>Муниципальная про</w:t>
              <w:softHyphen/>
              <w:t>грамма «Развитие  культуры»</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shd w:fill="FFFFFF" w:val="clear"/>
              </w:rPr>
              <w:t xml:space="preserve">Управление культуры АТМО СК, </w:t>
            </w:r>
            <w:r>
              <w:rPr>
                <w:rFonts w:eastAsia="" w:cs="Times New Roman" w:ascii="Times New Roman" w:hAnsi="Times New Roman"/>
                <w:sz w:val="22"/>
                <w:szCs w:val="22"/>
                <w:shd w:fill="FFFFFF" w:val="clear"/>
                <w:lang w:eastAsia="ru-RU"/>
              </w:rPr>
              <w:t>Центральная библиотека</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20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color w:val="000000"/>
                <w:sz w:val="22"/>
                <w:szCs w:val="22"/>
              </w:rPr>
              <w:t>Благодаря инновационной деятельности  сельские библиотеки сохраняют свой статус социально значимого учреждения.</w:t>
            </w:r>
            <w:r>
              <w:rPr>
                <w:rFonts w:cs="Times New Roman" w:ascii="Times New Roman" w:hAnsi="Times New Roman"/>
                <w:color w:val="000000"/>
                <w:sz w:val="22"/>
                <w:szCs w:val="22"/>
                <w:shd w:fill="FFFFFF" w:val="clear"/>
                <w:lang w:eastAsia="ru-RU"/>
              </w:rPr>
              <w:t xml:space="preserve"> </w:t>
            </w:r>
            <w:r>
              <w:rPr>
                <w:rFonts w:cs="Times New Roman" w:ascii="Times New Roman" w:hAnsi="Times New Roman"/>
                <w:color w:val="000000"/>
                <w:sz w:val="22"/>
                <w:szCs w:val="22"/>
              </w:rPr>
              <w:t>Укрепляется социально-культурное сотрудничество и положительный имидж библиотек.  Библиотеки развиваются в соответствии с современными требованиями к качеству библиотечного обслуживания. Библиотечные услуги востребованы жителями Туркменского района.</w:t>
            </w:r>
          </w:p>
          <w:p>
            <w:pPr>
              <w:pStyle w:val="Normal"/>
              <w:spacing w:lineRule="auto" w:line="240" w:before="0" w:after="0"/>
              <w:jc w:val="both"/>
              <w:rPr/>
            </w:pPr>
            <w:r>
              <w:rPr>
                <w:rFonts w:cs="Times New Roman" w:ascii="Times New Roman" w:hAnsi="Times New Roman"/>
                <w:color w:val="000000"/>
                <w:sz w:val="22"/>
                <w:szCs w:val="22"/>
              </w:rPr>
              <w:t xml:space="preserve">Доля библиотек, подключенных к сети  Интернет составляет </w:t>
            </w:r>
            <w:r>
              <w:rPr>
                <w:rFonts w:cs="Times New Roman" w:ascii="Times New Roman" w:hAnsi="Times New Roman"/>
                <w:bCs/>
                <w:color w:val="000000"/>
                <w:sz w:val="22"/>
                <w:szCs w:val="22"/>
              </w:rPr>
              <w:t xml:space="preserve">100 %. </w:t>
            </w:r>
            <w:r>
              <w:rPr>
                <w:rFonts w:cs="Times New Roman" w:ascii="Times New Roman" w:hAnsi="Times New Roman"/>
                <w:color w:val="000000"/>
                <w:sz w:val="22"/>
                <w:szCs w:val="22"/>
              </w:rPr>
              <w:t xml:space="preserve">Межпоселенческая центральная библиотека  предоставляет читателям дистанционный доступ к библиотечным ресурсам: к сайту учреждения, электронному каталогу, электронной библиотеке ЛитРес. МЦБ имеет доступ к ресурсам Национальной электронной библиотеке (НЭБ) России, к базе данных «Консультант плюс». </w:t>
            </w:r>
            <w:r>
              <w:rPr>
                <w:rFonts w:cs="Times New Roman" w:ascii="Times New Roman" w:hAnsi="Times New Roman"/>
                <w:bCs/>
                <w:color w:val="000000"/>
                <w:sz w:val="22"/>
                <w:szCs w:val="22"/>
              </w:rPr>
              <w:t>16 пользователей воспользовались услугами НЭБ. Из ресурса  НЭБ в 2025 г.  выдано пользователям 59 документов.</w:t>
            </w:r>
          </w:p>
          <w:p>
            <w:pPr>
              <w:pStyle w:val="Normal"/>
              <w:spacing w:lineRule="auto" w:line="240" w:before="0" w:after="0"/>
              <w:jc w:val="both"/>
              <w:rPr>
                <w:rFonts w:ascii="Times New Roman" w:hAnsi="Times New Roman" w:cs="Times New Roman"/>
                <w:bCs/>
                <w:color w:val="000000"/>
                <w:sz w:val="22"/>
                <w:szCs w:val="22"/>
              </w:rPr>
            </w:pPr>
            <w:r>
              <w:rPr>
                <w:rFonts w:cs="Times New Roman" w:ascii="Times New Roman" w:hAnsi="Times New Roman"/>
                <w:bCs/>
                <w:color w:val="000000"/>
                <w:sz w:val="22"/>
                <w:szCs w:val="22"/>
              </w:rPr>
              <w:t>Программно – проектная деятельность способствует привлечению новых читателей, развитию библиотечно – информационного обслуживания населения.</w:t>
            </w:r>
          </w:p>
          <w:p>
            <w:pPr>
              <w:pStyle w:val="Normal"/>
              <w:spacing w:lineRule="auto" w:line="240" w:before="0" w:after="0"/>
              <w:jc w:val="both"/>
              <w:rPr/>
            </w:pPr>
            <w:r>
              <w:rPr>
                <w:rFonts w:cs="Times New Roman" w:ascii="Times New Roman" w:hAnsi="Times New Roman"/>
                <w:bCs/>
                <w:color w:val="000000"/>
                <w:sz w:val="22"/>
                <w:szCs w:val="22"/>
              </w:rPr>
              <w:t>В 2025 году к библиотечным мероприятиям было проведено 455 электронных презентаций.  Продолжается целенаправленная работа по формированию электронного каталога в МЦБ.</w:t>
            </w:r>
            <w:r>
              <w:rPr>
                <w:rFonts w:cs="Times New Roman" w:ascii="Times New Roman" w:hAnsi="Times New Roman"/>
                <w:bCs/>
                <w:color w:val="000000"/>
                <w:sz w:val="22"/>
                <w:szCs w:val="22"/>
                <w:shd w:fill="FFFFFF" w:val="clear"/>
              </w:rPr>
              <w:t xml:space="preserve"> </w:t>
            </w:r>
            <w:r>
              <w:rPr>
                <w:rFonts w:cs="Times New Roman" w:ascii="Times New Roman" w:hAnsi="Times New Roman"/>
                <w:bCs/>
                <w:color w:val="000000"/>
                <w:sz w:val="22"/>
                <w:szCs w:val="22"/>
              </w:rPr>
              <w:t xml:space="preserve">  Показатель  «количество библиографических записей в электронном каталоге библиотек Туркменского района» выполнен на 100 %.  Объем базы данных на  31.12.2025 г. составляет - 82980 библиографических записей. В 2025 г. оцифровано 266 экз. изданий, все они находятся в открытом доступе. В 2025 году поступление общего количества книг и периодических изданий составило – 7011 экземпляров, в том числе: </w:t>
            </w:r>
            <w:r>
              <w:rPr>
                <w:rFonts w:cs="Times New Roman" w:ascii="Times New Roman" w:hAnsi="Times New Roman"/>
                <w:color w:val="000000"/>
                <w:sz w:val="22"/>
                <w:szCs w:val="22"/>
              </w:rPr>
              <w:t xml:space="preserve">книг - 3455 экз.; </w:t>
            </w:r>
            <w:r>
              <w:rPr>
                <w:rFonts w:cs="Times New Roman" w:ascii="Times New Roman" w:hAnsi="Times New Roman"/>
                <w:bCs/>
                <w:color w:val="000000"/>
                <w:sz w:val="22"/>
                <w:szCs w:val="22"/>
              </w:rPr>
              <w:t>периодических изданий – 3556 экз.</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1.3.3</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Обеспечение устойчивого развития культурного многообразия и повышение уровня вовлечен</w:t>
              <w:softHyphen/>
              <w:t>ности населения в культурную жизнь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Содействие участию детей и молодых исполнителей в фестивалях и конкурсах исполнительского мастерства различных уровней</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Муниципальная программа «Развитие  культуры»</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Управление культуры АТМО СК, центры культуры территориальных управлений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hd w:val="clear" w:fill="FFFFFF"/>
              <w:suppressAutoHyphens w:val="true"/>
              <w:spacing w:lineRule="auto" w:line="240" w:before="0" w:after="0"/>
              <w:ind w:hanging="0" w:right="0"/>
              <w:jc w:val="both"/>
              <w:rPr>
                <w:rFonts w:ascii="Times New Roman" w:hAnsi="Times New Roman"/>
                <w:sz w:val="22"/>
                <w:szCs w:val="22"/>
              </w:rPr>
            </w:pPr>
            <w:r>
              <w:rPr>
                <w:rFonts w:ascii="Times New Roman" w:hAnsi="Times New Roman"/>
                <w:color w:val="000000"/>
                <w:sz w:val="22"/>
                <w:szCs w:val="22"/>
              </w:rPr>
              <w:t>В рамках развития культурно-досуговой деятельно</w:t>
            </w:r>
            <w:r>
              <w:rPr>
                <w:rFonts w:ascii="Times New Roman" w:hAnsi="Times New Roman"/>
                <w:bCs/>
                <w:color w:val="000000"/>
                <w:sz w:val="22"/>
                <w:szCs w:val="22"/>
              </w:rPr>
              <w:t>сти</w:t>
            </w:r>
            <w:r>
              <w:rPr>
                <w:rFonts w:ascii="Times New Roman" w:hAnsi="Times New Roman"/>
                <w:color w:val="000000"/>
                <w:sz w:val="22"/>
                <w:szCs w:val="22"/>
              </w:rPr>
              <w:t xml:space="preserve"> в 2025 году проведены культурно-массовые мероприятия, фестивали, конкурсы.</w:t>
            </w:r>
          </w:p>
          <w:p>
            <w:pPr>
              <w:pStyle w:val="Normal"/>
              <w:widowControl w:val="false"/>
              <w:suppressAutoHyphens w:val="true"/>
              <w:spacing w:lineRule="auto" w:line="240" w:before="0" w:after="0"/>
              <w:ind w:hanging="0" w:right="0"/>
              <w:jc w:val="both"/>
              <w:rPr>
                <w:rFonts w:ascii="Times New Roman" w:hAnsi="Times New Roman"/>
                <w:color w:val="000000"/>
                <w:sz w:val="22"/>
                <w:szCs w:val="22"/>
              </w:rPr>
            </w:pPr>
            <w:r>
              <w:rPr>
                <w:rFonts w:ascii="Times New Roman" w:hAnsi="Times New Roman"/>
                <w:color w:val="000000"/>
                <w:sz w:val="22"/>
                <w:szCs w:val="22"/>
              </w:rPr>
              <w:t>В их числе:</w:t>
            </w:r>
          </w:p>
          <w:p>
            <w:pPr>
              <w:pStyle w:val="Normal"/>
              <w:shd w:val="clear" w:fill="FFFFFF"/>
              <w:tabs>
                <w:tab w:val="clear" w:pos="708"/>
                <w:tab w:val="left" w:pos="709" w:leader="none"/>
              </w:tabs>
              <w:spacing w:lineRule="auto" w:line="240" w:before="0" w:after="0"/>
              <w:jc w:val="both"/>
              <w:rPr/>
            </w:pPr>
            <w:r>
              <w:rPr>
                <w:rFonts w:ascii="Times New Roman" w:hAnsi="Times New Roman"/>
                <w:color w:val="000000"/>
                <w:sz w:val="22"/>
                <w:szCs w:val="22"/>
              </w:rPr>
              <w:t xml:space="preserve">-  02 апреля </w:t>
            </w:r>
            <w:r>
              <w:rPr>
                <w:rFonts w:ascii="Times New Roman" w:hAnsi="Times New Roman"/>
                <w:color w:val="000000"/>
                <w:sz w:val="22"/>
                <w:szCs w:val="22"/>
                <w:shd w:fill="FFFFFF" w:val="clear"/>
              </w:rPr>
              <w:t xml:space="preserve">на базе МКУ «Социально-культурный центр» ТМО СК </w:t>
            </w:r>
            <w:r>
              <w:rPr>
                <w:rFonts w:ascii="Times New Roman" w:hAnsi="Times New Roman"/>
                <w:color w:val="000000"/>
                <w:sz w:val="22"/>
                <w:szCs w:val="22"/>
              </w:rPr>
              <w:t>в с. Летняя Ставка в рамках общекраевого выставочного проекта «Солдаты» в бумажных шинелях», посвященного 80-й годовщине Победы в Великой Отечественной войне и Году защитника Отечества, проведен районный поэтический фестиваль «Поэзия на все времена»;</w:t>
            </w:r>
          </w:p>
          <w:p>
            <w:pPr>
              <w:pStyle w:val="Normal"/>
              <w:shd w:val="clear" w:fill="FFFFFF"/>
              <w:tabs>
                <w:tab w:val="clear" w:pos="708"/>
                <w:tab w:val="left" w:pos="709" w:leader="none"/>
              </w:tabs>
              <w:spacing w:lineRule="auto" w:line="240" w:before="0" w:after="0"/>
              <w:jc w:val="both"/>
              <w:rPr>
                <w:rFonts w:ascii="Times New Roman" w:hAnsi="Times New Roman"/>
                <w:sz w:val="22"/>
                <w:szCs w:val="22"/>
              </w:rPr>
            </w:pPr>
            <w:r>
              <w:rPr>
                <w:rFonts w:ascii="Times New Roman" w:hAnsi="Times New Roman"/>
                <w:color w:val="000000"/>
                <w:sz w:val="22"/>
                <w:szCs w:val="22"/>
              </w:rPr>
              <w:t xml:space="preserve">-  26 апреля в МКУК «Малоягурский ЦКиД» с. Малые Ягуры состоялся </w:t>
            </w:r>
            <w:r>
              <w:rPr>
                <w:rFonts w:ascii="Times New Roman" w:hAnsi="Times New Roman"/>
                <w:color w:val="000000"/>
                <w:sz w:val="22"/>
                <w:szCs w:val="22"/>
                <w:shd w:fill="FFFFFF" w:val="clear"/>
              </w:rPr>
              <w:t>районный фестиваль-конкурс хореографического искусства «Волшебный мир танца»;</w:t>
            </w:r>
          </w:p>
          <w:p>
            <w:pPr>
              <w:pStyle w:val="Normal"/>
              <w:tabs>
                <w:tab w:val="clear" w:pos="708"/>
                <w:tab w:val="left" w:pos="709" w:leader="none"/>
              </w:tabs>
              <w:spacing w:lineRule="auto" w:line="240" w:before="0" w:after="0"/>
              <w:jc w:val="both"/>
              <w:rPr>
                <w:rFonts w:ascii="Times New Roman" w:hAnsi="Times New Roman"/>
                <w:sz w:val="22"/>
                <w:szCs w:val="22"/>
              </w:rPr>
            </w:pPr>
            <w:r>
              <w:rPr>
                <w:rFonts w:ascii="Times New Roman" w:hAnsi="Times New Roman"/>
                <w:color w:val="000000"/>
                <w:sz w:val="22"/>
                <w:szCs w:val="22"/>
              </w:rPr>
              <w:t>-  06 мая на центральной площади у здания МКУ «Социально-культурный центр» ТМО СК состоялось районное патриотическое мероприятие, посвящённое 80-ой годовщине Победы в Великой Отечественной войне, с выступлением Казгулакского духового оркестра;</w:t>
            </w:r>
          </w:p>
          <w:p>
            <w:pPr>
              <w:pStyle w:val="Normal"/>
              <w:tabs>
                <w:tab w:val="clear" w:pos="708"/>
                <w:tab w:val="left" w:pos="709" w:leader="none"/>
              </w:tabs>
              <w:spacing w:lineRule="auto" w:line="240" w:before="0" w:after="0"/>
              <w:jc w:val="both"/>
              <w:rPr>
                <w:rFonts w:ascii="Times New Roman" w:hAnsi="Times New Roman"/>
                <w:sz w:val="22"/>
                <w:szCs w:val="22"/>
              </w:rPr>
            </w:pPr>
            <w:r>
              <w:rPr>
                <w:rFonts w:ascii="Times New Roman" w:hAnsi="Times New Roman"/>
                <w:color w:val="000000"/>
                <w:sz w:val="22"/>
                <w:szCs w:val="22"/>
              </w:rPr>
              <w:t>- 11 июня в МКУК «Владимировский ЦКиД» проведен районный фестиваль «Люблю тебя, моя Россия»;</w:t>
            </w:r>
          </w:p>
          <w:p>
            <w:pPr>
              <w:pStyle w:val="Normal"/>
              <w:shd w:val="clear" w:fill="FFFFFF"/>
              <w:spacing w:lineRule="auto" w:line="240" w:before="0" w:after="0"/>
              <w:jc w:val="both"/>
              <w:rPr/>
            </w:pPr>
            <w:r>
              <w:rPr>
                <w:rFonts w:ascii="Times New Roman" w:hAnsi="Times New Roman"/>
                <w:color w:val="000000"/>
                <w:sz w:val="22"/>
                <w:szCs w:val="22"/>
              </w:rPr>
              <w:t xml:space="preserve">- </w:t>
            </w:r>
            <w:r>
              <w:rPr>
                <w:rFonts w:ascii="Times New Roman" w:hAnsi="Times New Roman"/>
                <w:color w:val="000000"/>
                <w:sz w:val="22"/>
                <w:szCs w:val="22"/>
                <w:shd w:fill="FFFFFF" w:val="clear"/>
              </w:rPr>
              <w:t>08 июня в торжественном зале отдела записи актов гражданского состояния управления записи актов гражданского состояния Ставропольского края по Туркменскому району (</w:t>
            </w:r>
            <w:r>
              <w:rPr>
                <w:rFonts w:ascii="Times New Roman" w:hAnsi="Times New Roman"/>
                <w:color w:val="000000"/>
                <w:sz w:val="22"/>
                <w:szCs w:val="22"/>
              </w:rPr>
              <w:t xml:space="preserve">с. Летняя Ставка) </w:t>
            </w:r>
            <w:r>
              <w:rPr>
                <w:rFonts w:ascii="Times New Roman" w:hAnsi="Times New Roman"/>
                <w:color w:val="000000"/>
                <w:sz w:val="22"/>
                <w:szCs w:val="22"/>
                <w:shd w:fill="FFFFFF" w:val="clear"/>
              </w:rPr>
              <w:t>проведено районное мероприятие, посвященное Дню семьи, любви и верности;</w:t>
            </w:r>
          </w:p>
          <w:p>
            <w:pPr>
              <w:pStyle w:val="Normal"/>
              <w:shd w:val="clear" w:fill="FFFFFF"/>
              <w:spacing w:lineRule="auto" w:line="240" w:before="0" w:after="0"/>
              <w:jc w:val="both"/>
              <w:rPr/>
            </w:pPr>
            <w:r>
              <w:rPr>
                <w:rFonts w:ascii="Times New Roman" w:hAnsi="Times New Roman"/>
                <w:color w:val="000000"/>
                <w:sz w:val="22"/>
                <w:szCs w:val="22"/>
                <w:shd w:fill="FFFFFF" w:val="clear"/>
              </w:rPr>
              <w:t>- 11 декабря на базе</w:t>
            </w:r>
            <w:r>
              <w:rPr>
                <w:rFonts w:ascii="Times New Roman" w:hAnsi="Times New Roman"/>
                <w:color w:val="000000"/>
                <w:sz w:val="22"/>
                <w:szCs w:val="22"/>
              </w:rPr>
              <w:t xml:space="preserve"> МКУ «Социально-культурный центр» ТМО СК проведено районное мероприятие «Славься, район наш Туркменский», посвященное 55-летию образования Туркменского района;</w:t>
            </w:r>
          </w:p>
          <w:p>
            <w:pPr>
              <w:pStyle w:val="Normal"/>
              <w:shd w:val="clear" w:fill="FFFFFF"/>
              <w:spacing w:lineRule="auto" w:line="240" w:before="0" w:after="0"/>
              <w:jc w:val="both"/>
              <w:rPr/>
            </w:pPr>
            <w:r>
              <w:rPr>
                <w:rFonts w:ascii="Times New Roman" w:hAnsi="Times New Roman"/>
                <w:color w:val="000000"/>
                <w:sz w:val="22"/>
                <w:szCs w:val="22"/>
                <w:shd w:fill="FFFFFF" w:val="clear"/>
              </w:rPr>
              <w:t>- 24 декабря, в рамках празднования Дня Героев Отечества, проведен районный фестиваль-конкурс патриотической песни «Солдатский конверт»;</w:t>
            </w:r>
          </w:p>
          <w:p>
            <w:pPr>
              <w:pStyle w:val="Normal"/>
              <w:shd w:val="clear" w:fill="FFFFFF"/>
              <w:spacing w:lineRule="auto" w:line="240" w:before="0" w:after="0"/>
              <w:jc w:val="both"/>
              <w:rPr/>
            </w:pPr>
            <w:r>
              <w:rPr>
                <w:rFonts w:cs="Times New Roman" w:ascii="Times New Roman" w:hAnsi="Times New Roman"/>
                <w:color w:val="000000"/>
                <w:sz w:val="22"/>
                <w:szCs w:val="22"/>
                <w:shd w:fill="FFFFFF" w:val="clear"/>
              </w:rPr>
              <w:t>- 26 декабря в МКУК «Малоягурский ЦКиД» ТМО СК проведен заочный районный фестиваль-конкурс художественного творчества инвалидов «Радуга наших сердец». В фестивале принимали участие инвалиды в двух возрастных категориях (до 18 лет и старше 18 лет) с заболеваниями терапевтического, хирургического, неврологического, психиатрического профилей, инвалиды по зрению и слуху, творческие коллективы инвалидов, занимающиеся художественным творчеством в различных жанрах.</w:t>
            </w:r>
          </w:p>
        </w:tc>
      </w:tr>
      <w:tr>
        <w:trPr>
          <w:trHeight w:val="7313" w:hRule="atLeast"/>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Проведение в округе фестивалей, конкурсов, выставок, смотров по различным направлениям творчества, культурно-массовых мероприятий</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Муниципальная программа «Развитие  культуры»</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Управление культуры АТМО СК, Центральная библиотека, центры культуры территори</w:t>
              <w:softHyphen/>
              <w:t>альных управлений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ind w:hanging="0" w:right="0"/>
              <w:jc w:val="both"/>
              <w:rPr>
                <w:rFonts w:ascii="Times New Roman" w:hAnsi="Times New Roman"/>
                <w:color w:val="000000"/>
                <w:sz w:val="22"/>
                <w:szCs w:val="22"/>
              </w:rPr>
            </w:pPr>
            <w:r>
              <w:rPr>
                <w:rFonts w:ascii="Times New Roman" w:hAnsi="Times New Roman"/>
                <w:color w:val="000000"/>
                <w:sz w:val="22"/>
                <w:szCs w:val="22"/>
              </w:rPr>
              <w:t>В 2025 году прошел цикл мероприятий в рамках районной семейной гостиной «Венец всех ценностей – семья»: «Никто не создан для войны», «Встреча трех поколений. Живая память», «Под семейным зонтиком».</w:t>
            </w:r>
          </w:p>
          <w:p>
            <w:pPr>
              <w:pStyle w:val="Normal"/>
              <w:spacing w:lineRule="auto" w:line="240" w:before="0" w:after="0"/>
              <w:ind w:hanging="0" w:right="0"/>
              <w:jc w:val="both"/>
              <w:rPr>
                <w:rFonts w:ascii="Times New Roman" w:hAnsi="Times New Roman"/>
                <w:sz w:val="22"/>
                <w:szCs w:val="22"/>
              </w:rPr>
            </w:pPr>
            <w:r>
              <w:rPr>
                <w:rFonts w:cs="Times New Roman" w:ascii="Times New Roman" w:hAnsi="Times New Roman"/>
                <w:color w:val="000000"/>
                <w:sz w:val="22"/>
                <w:szCs w:val="22"/>
              </w:rPr>
              <w:t>Библиотеки Туркменского муниципального округа приняли активное участие в краевой акции «Интернет - дневник «Семейные истории о войне». Специалисты четырех структурных подразделений приняли участие в Краевом конкурсе рукотворной книги «Солдаты» в бумажных шинелях», посвящённом 80-летию Победы в Великой Отечественной войне 1941-1945 гг. Казгулакская библиотека стала победителем в краевом конкурсе</w:t>
            </w:r>
            <w:r>
              <w:rPr>
                <w:rFonts w:cs="Times New Roman" w:ascii="Times New Roman" w:hAnsi="Times New Roman"/>
                <w:color w:val="000000"/>
                <w:sz w:val="22"/>
                <w:szCs w:val="22"/>
                <w:shd w:fill="FFFFFF" w:val="clear"/>
              </w:rPr>
              <w:t> среди общедоступных библиотек Ставропольского края на звание лауреата премии </w:t>
            </w:r>
            <w:r>
              <w:rPr>
                <w:rFonts w:cs="Times New Roman" w:ascii="Times New Roman" w:hAnsi="Times New Roman"/>
                <w:bCs/>
                <w:color w:val="000000"/>
                <w:sz w:val="22"/>
                <w:szCs w:val="22"/>
                <w:shd w:fill="FFFFFF" w:val="clear"/>
              </w:rPr>
              <w:t>имени</w:t>
            </w:r>
            <w:r>
              <w:rPr>
                <w:rFonts w:cs="Times New Roman" w:ascii="Times New Roman" w:hAnsi="Times New Roman"/>
                <w:color w:val="000000"/>
                <w:sz w:val="22"/>
                <w:szCs w:val="22"/>
                <w:shd w:fill="FFFFFF" w:val="clear"/>
              </w:rPr>
              <w:t> Андрея </w:t>
            </w:r>
            <w:r>
              <w:rPr>
                <w:rFonts w:cs="Times New Roman" w:ascii="Times New Roman" w:hAnsi="Times New Roman"/>
                <w:bCs/>
                <w:color w:val="000000"/>
                <w:sz w:val="22"/>
                <w:szCs w:val="22"/>
                <w:shd w:fill="FFFFFF" w:val="clear"/>
              </w:rPr>
              <w:t>Губина</w:t>
            </w:r>
            <w:r>
              <w:rPr>
                <w:rFonts w:cs="Times New Roman" w:ascii="Times New Roman" w:hAnsi="Times New Roman"/>
                <w:color w:val="000000"/>
                <w:sz w:val="22"/>
                <w:szCs w:val="22"/>
                <w:shd w:fill="FFFFFF" w:val="clear"/>
              </w:rPr>
              <w:t> «За сохранение традиций и развитие инноваций в 2024» в номинации «Лучшая сельская библиотека». Владимировская библиотека приняла участие в открытии мемориала воинам-землякам ВОВ, погибших героев на СВО.</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1.3.4.</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t>Развитие диалога культур и сохранение поликультурности населения, пропаганда и развитие культуры народов и этносов, проживающих на территории района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rPr>
            </w:pPr>
            <w:r>
              <w:rPr>
                <w:rFonts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rPr>
              <w:t>Проведение культурно-массовых мероприятий округа с участием нацио</w:t>
              <w:softHyphen/>
              <w:t>нальных, этнических творческих коллективов</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Муниципальная программа «Развитие  культуры»</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Управление культуры АТМО СК, Центральная библиотека, центры культуры территори</w:t>
              <w:softHyphen/>
              <w:t>альных управлений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highlight w:val="none"/>
                <w:shd w:fill="auto" w:val="clear"/>
              </w:rPr>
            </w:pPr>
            <w:r>
              <w:rPr>
                <w:rFonts w:cs="Times New Roman" w:ascii="Times New Roman" w:hAnsi="Times New Roman"/>
                <w:sz w:val="22"/>
                <w:szCs w:val="22"/>
                <w:shd w:fill="auto" w:val="clear"/>
              </w:rPr>
              <w:t>В 2025 году работники МКУК «Новокучерлинский ЦКиД» ТМО СК провели познавательную программу «Наша истинная национальность - человек». Мероприятие направлено на профилактику уважительного и толерантного отношения к людям разных национальностей, к обычаям, традициям и культуре разных народов. К Всемирному дню поэзии на базе МКУК «Владимировский центр культуры и досуга» при поддержке управления культуры администрации ТМО СК, состоялся окружной поэтический фестиваль «Поэзия на все времена», организованный МКУК «Межпоселенческая центральная библиотека» ТМО СК. Мероприятие проводилось в рамках краевого поэтического марафона «СтихиVместе», приуроченного к Году межнационального согласия в Ставропольском крае. В МКУК «Межпоселенческая центральная библиотека» ТМО СК  прошло заседание круглого стола «Туркменский район - территория мира и взаимопонимания!». В МКУ «Социально-культурный центр» ТМО СК состоялось окружное мероприятие, посвященное празднованию Дня России.  Мероприятие открылось церемонией вручения паспортов школьникам в рамках акции «Я – гражданин России!». На сцене приветствовали семьи юных граждан России.  Продолжилось мероприятие  фестивалем «Люблю тебя, моя Россия!» с выступлением лучших творческих коллективов. Работали тематические площадки: «Ремесло в радость» - выставка работ декоративно-прикладного творчества с проведением мастер-классов, проходили экскурсии   в музее. Желающие принимали участие в изготовлении маскировочных сетей и окопных свечей, написание писем участникам СВО. Завершилось мероприятие семейным кинопоказом «Россия – взгляд в будущее. Северный Кавказ» альманах из документальных фильмов.</w:t>
            </w:r>
          </w:p>
          <w:p>
            <w:pPr>
              <w:pStyle w:val="Normal"/>
              <w:snapToGrid w:val="false"/>
              <w:spacing w:lineRule="auto" w:line="240" w:before="0" w:after="0"/>
              <w:jc w:val="both"/>
              <w:rPr>
                <w:highlight w:val="none"/>
                <w:shd w:fill="auto" w:val="clear"/>
              </w:rPr>
            </w:pPr>
            <w:r>
              <w:rPr>
                <w:rFonts w:cs="Times New Roman" w:ascii="Times New Roman" w:hAnsi="Times New Roman"/>
                <w:sz w:val="22"/>
                <w:szCs w:val="22"/>
                <w:shd w:fill="auto" w:val="clear"/>
              </w:rPr>
              <w:t>Работники Дома культуры и досуга     а. Сабан-Антуста  провели в школе - фестиваль национальных культур народов России. Цель мероприятия — гармонизация межнациональных отношений, пропаганда межэтнической толерантности, сохранение национальной самобытности народов и приобщение к культурным ценностям. В МКУК «Малоягурский ЦКиД» ТМО СК прошел окружной фестиваль мастеров декоративно-прикладного творчества «Творчество: традиции и современность».</w:t>
            </w:r>
          </w:p>
        </w:tc>
      </w:tr>
      <w:tr>
        <w:trPr/>
        <w:tc>
          <w:tcPr>
            <w:tcW w:w="7192" w:type="dxa"/>
            <w:gridSpan w:val="5"/>
            <w:vMerge w:val="restart"/>
            <w:tcBorders>
              <w:left w:val="single" w:sz="4" w:space="0" w:color="000000"/>
              <w:bottom w:val="single" w:sz="4" w:space="0" w:color="000000"/>
              <w:right w:val="single" w:sz="4" w:space="0" w:color="000000"/>
            </w:tcBorders>
          </w:tcPr>
          <w:p>
            <w:pPr>
              <w:pStyle w:val="Normal"/>
              <w:spacing w:lineRule="auto" w:line="240" w:before="0" w:after="0"/>
              <w:jc w:val="left"/>
              <w:rPr>
                <w:rFonts w:ascii="Times New Roman" w:hAnsi="Times New Roman" w:cs="Times New Roman"/>
                <w:b/>
                <w:sz w:val="22"/>
                <w:szCs w:val="22"/>
              </w:rPr>
            </w:pPr>
            <w:r>
              <w:rPr>
                <w:rFonts w:eastAsia="" w:cs="Times New Roman" w:ascii="Times New Roman" w:hAnsi="Times New Roman"/>
                <w:b/>
                <w:bCs/>
                <w:sz w:val="22"/>
                <w:szCs w:val="22"/>
                <w:lang w:eastAsia="ru-RU"/>
              </w:rPr>
              <w:t>1.4. Развитие физической культуры и спорта</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Доля обучающихся, систематически за</w:t>
              <w:softHyphen/>
              <w:t>нимающихся физиче</w:t>
              <w:softHyphen/>
              <w:t>ской культурой и спортом, в общей численности обу</w:t>
              <w:softHyphen/>
              <w:t>чающихся</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процент</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pPr>
            <w:r>
              <w:rPr>
                <w:rFonts w:eastAsia="" w:cs="Times New Roman" w:ascii="Times New Roman" w:hAnsi="Times New Roman"/>
                <w:color w:val="000000"/>
                <w:sz w:val="22"/>
                <w:szCs w:val="22"/>
                <w:lang w:eastAsia="ru-RU"/>
              </w:rPr>
              <w:t xml:space="preserve">Доля обучающихся, систематически занимающихся физической культурой и спортом, в общей численности обучающихся, за 2025 год - </w:t>
            </w:r>
            <w:r>
              <w:rPr>
                <w:rFonts w:eastAsia="" w:cs="Times New Roman" w:ascii="Times New Roman" w:hAnsi="Times New Roman"/>
                <w:sz w:val="22"/>
                <w:szCs w:val="22"/>
                <w:lang w:eastAsia="ru-RU"/>
              </w:rPr>
              <w:t xml:space="preserve"> 94,5 %.</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4"/>
                <w:szCs w:val="24"/>
                <w:lang w:eastAsia="ru-RU"/>
              </w:rPr>
            </w:pPr>
            <w:r>
              <w:rPr>
                <w:rFonts w:eastAsia="" w:cs="Times New Roman" w:ascii="Times New Roman" w:hAnsi="Times New Roman"/>
                <w:sz w:val="24"/>
                <w:szCs w:val="24"/>
                <w:lang w:eastAsia="ru-RU"/>
              </w:rPr>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Доля граждан, систе</w:t>
              <w:softHyphen/>
              <w:t>матически занимаю</w:t>
              <w:softHyphen/>
              <w:t>щегося физической культурой и спортом</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2"/>
                <w:szCs w:val="22"/>
                <w:lang w:eastAsia="ru-RU"/>
              </w:rPr>
            </w:pPr>
            <w:r>
              <w:rPr>
                <w:rFonts w:cs="Times New Roman" w:ascii="Times New Roman" w:hAnsi="Times New Roman"/>
                <w:sz w:val="22"/>
                <w:szCs w:val="22"/>
                <w:lang w:eastAsia="ru-RU"/>
              </w:rPr>
              <w:t>процент</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pPr>
            <w:r>
              <w:rPr>
                <w:rFonts w:eastAsia="" w:cs="Times New Roman" w:ascii="Times New Roman" w:hAnsi="Times New Roman"/>
                <w:color w:val="000000"/>
                <w:sz w:val="22"/>
                <w:szCs w:val="22"/>
                <w:lang w:eastAsia="ru-RU"/>
              </w:rPr>
              <w:t xml:space="preserve">Доля граждан, систематически занимающегося физической культурой и спортом, за 2025 год - </w:t>
            </w:r>
            <w:r>
              <w:rPr>
                <w:rFonts w:eastAsia="" w:cs="Times New Roman" w:ascii="Times New Roman" w:hAnsi="Times New Roman"/>
                <w:sz w:val="22"/>
                <w:szCs w:val="22"/>
                <w:lang w:eastAsia="ru-RU"/>
              </w:rPr>
              <w:t>63,5 %.</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1.4.1.</w:t>
            </w:r>
          </w:p>
        </w:tc>
        <w:tc>
          <w:tcPr>
            <w:tcW w:w="14627" w:type="dxa"/>
            <w:gridSpan w:val="8"/>
            <w:tcBorders>
              <w:left w:val="single" w:sz="4" w:space="0" w:color="000000"/>
              <w:bottom w:val="single" w:sz="4" w:space="0" w:color="000000"/>
              <w:right w:val="single" w:sz="4" w:space="0" w:color="000000"/>
            </w:tcBorders>
          </w:tcPr>
          <w:p>
            <w:pPr>
              <w:pStyle w:val="ConsPlusNormal"/>
              <w:spacing w:before="0" w:after="200"/>
              <w:rPr>
                <w:rFonts w:ascii="Times New Roman" w:hAnsi="Times New Roman" w:cs="Times New Roman"/>
                <w:sz w:val="22"/>
                <w:szCs w:val="22"/>
              </w:rPr>
            </w:pPr>
            <w:r>
              <w:rPr>
                <w:rFonts w:cs="Times New Roman"/>
                <w:sz w:val="22"/>
                <w:szCs w:val="22"/>
              </w:rPr>
              <w:t>Совершенствование здоровья и благополучия, а также повышение уровня жизни населения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ConsPlusNormal"/>
              <w:spacing w:lineRule="auto" w:line="240" w:before="0" w:after="200"/>
              <w:jc w:val="both"/>
              <w:rPr/>
            </w:pPr>
            <w:r>
              <w:rPr>
                <w:rFonts w:cs="Times New Roman"/>
                <w:sz w:val="22"/>
                <w:szCs w:val="22"/>
              </w:rPr>
              <w:t>Содействие в развитии физической культуры и спорта в округе, включая обеспечение населения доступом к спортивной инфраструктуре и занятиям физической культурой и спортом</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фи</w:t>
              <w:softHyphen/>
              <w:t>зической культуры и спорта»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социального развития АТМО СК, управление обра</w:t>
              <w:softHyphen/>
              <w:t>зования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ConsPlusNormal"/>
              <w:spacing w:lineRule="auto" w:line="240" w:before="0" w:after="0"/>
              <w:jc w:val="both"/>
              <w:rPr/>
            </w:pPr>
            <w:r>
              <w:rPr>
                <w:rFonts w:cs="Times New Roman"/>
                <w:sz w:val="22"/>
                <w:szCs w:val="22"/>
              </w:rPr>
              <w:t>В 2025 году проведена работа по оказанию содействия в развитии физической культуры и спорта в округе, включая обеспечение населения доступом к спортивной инфраструктуре и занятиям физической культурой и спортом.</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ConsPlusNormal"/>
              <w:spacing w:before="0" w:after="200"/>
              <w:jc w:val="both"/>
              <w:rPr>
                <w:rFonts w:ascii="Times New Roman" w:hAnsi="Times New Roman" w:cs="Times New Roman"/>
                <w:sz w:val="22"/>
                <w:szCs w:val="22"/>
              </w:rPr>
            </w:pPr>
            <w:r>
              <w:rPr>
                <w:rFonts w:cs="Times New Roman"/>
                <w:sz w:val="22"/>
                <w:szCs w:val="22"/>
              </w:rPr>
              <w:t>Развитие системы спортивно-массовых соревнований и проведение данных мероприятий</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фи</w:t>
              <w:softHyphen/>
              <w:t>зической культуры и спорта»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социального развития АТМО СК, управление образования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Согласно календарного плана в 2025 году проведено 42 спортивных мероприятия.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ConsPlusNormal"/>
              <w:spacing w:before="0" w:after="200"/>
              <w:jc w:val="both"/>
              <w:rPr>
                <w:rFonts w:ascii="Times New Roman" w:hAnsi="Times New Roman" w:cs="Times New Roman"/>
                <w:sz w:val="22"/>
                <w:szCs w:val="22"/>
              </w:rPr>
            </w:pPr>
            <w:r>
              <w:rPr>
                <w:rFonts w:cs="Times New Roman"/>
                <w:sz w:val="22"/>
                <w:szCs w:val="22"/>
              </w:rPr>
              <w:t>Привлечение квалифицированных специалистов для работы в отрасли физической культуры и спорта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фи</w:t>
              <w:softHyphen/>
              <w:t>зической культуры и спорта»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социального развития АТМО СК, управление образования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pPr>
            <w:r>
              <w:rPr>
                <w:rFonts w:cs="Times New Roman" w:ascii="Times New Roman" w:hAnsi="Times New Roman"/>
                <w:sz w:val="22"/>
                <w:szCs w:val="22"/>
              </w:rPr>
              <w:t>В отрасл</w:t>
            </w:r>
            <w:r>
              <w:rPr>
                <w:rFonts w:cs="Times New Roman" w:ascii="Times New Roman" w:hAnsi="Times New Roman"/>
                <w:sz w:val="22"/>
                <w:szCs w:val="22"/>
                <w:shd w:fill="auto" w:val="clear"/>
              </w:rPr>
              <w:t>и физической культуры и спорта в округе на 01.01.2026 г. работает 61 учитель физической культуры, тренер-преподаватель и методист.</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1.4.3.</w:t>
            </w:r>
          </w:p>
        </w:tc>
        <w:tc>
          <w:tcPr>
            <w:tcW w:w="2863" w:type="dxa"/>
            <w:tcBorders>
              <w:left w:val="single" w:sz="4" w:space="0" w:color="000000"/>
              <w:bottom w:val="single" w:sz="4" w:space="0" w:color="000000"/>
              <w:right w:val="single" w:sz="4" w:space="0" w:color="000000"/>
            </w:tcBorders>
          </w:tcPr>
          <w:p>
            <w:pPr>
              <w:pStyle w:val="ConsPlusNormal"/>
              <w:spacing w:before="0" w:after="200"/>
              <w:jc w:val="both"/>
              <w:rPr>
                <w:rFonts w:ascii="Times New Roman" w:hAnsi="Times New Roman" w:cs="Times New Roman"/>
                <w:sz w:val="22"/>
                <w:szCs w:val="22"/>
              </w:rPr>
            </w:pPr>
            <w:r>
              <w:rPr>
                <w:rFonts w:cs="Times New Roman"/>
                <w:sz w:val="22"/>
                <w:szCs w:val="22"/>
              </w:rPr>
              <w:t>Формирование комфортной и безопасной среды в сфере физической культуры и спорта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фи</w:t>
              <w:softHyphen/>
              <w:t>зической культуры и спорта»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социального развития АТМО СК, управление обра</w:t>
              <w:softHyphen/>
              <w:t>зования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При строительстве применяются общероссийские стандарты. При  проведению спортивных мероприятий создана комфортная и безопасная среды в сфере физической культуры и спорта.</w:t>
            </w:r>
          </w:p>
        </w:tc>
      </w:tr>
      <w:tr>
        <w:trPr/>
        <w:tc>
          <w:tcPr>
            <w:tcW w:w="7192" w:type="dxa"/>
            <w:gridSpan w:val="5"/>
            <w:tcBorders>
              <w:left w:val="single" w:sz="4" w:space="0" w:color="000000"/>
              <w:bottom w:val="single" w:sz="4" w:space="0" w:color="000000"/>
              <w:right w:val="single" w:sz="4" w:space="0" w:color="000000"/>
            </w:tcBorders>
          </w:tcPr>
          <w:p>
            <w:pPr>
              <w:pStyle w:val="Normal"/>
              <w:spacing w:lineRule="auto" w:line="240" w:before="0" w:after="113"/>
              <w:jc w:val="left"/>
              <w:rPr>
                <w:rFonts w:ascii="Times New Roman" w:hAnsi="Times New Roman" w:cs="Times New Roman"/>
                <w:b/>
                <w:sz w:val="22"/>
                <w:szCs w:val="22"/>
              </w:rPr>
            </w:pPr>
            <w:r>
              <w:rPr>
                <w:rFonts w:cs="Times New Roman" w:ascii="Times New Roman" w:hAnsi="Times New Roman"/>
                <w:b/>
                <w:bCs/>
                <w:sz w:val="22"/>
                <w:szCs w:val="22"/>
              </w:rPr>
              <w:t>1.5. Развитие потенциала молодежи</w:t>
            </w:r>
          </w:p>
        </w:tc>
        <w:tc>
          <w:tcPr>
            <w:tcW w:w="234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113"/>
              <w:jc w:val="both"/>
              <w:rPr>
                <w:rFonts w:ascii="Times New Roman" w:hAnsi="Times New Roman" w:cs="Times New Roman"/>
                <w:color w:val="000000"/>
                <w:sz w:val="22"/>
                <w:szCs w:val="22"/>
              </w:rPr>
            </w:pPr>
            <w:r>
              <w:rPr>
                <w:rFonts w:cs="Times New Roman" w:ascii="Times New Roman" w:hAnsi="Times New Roman"/>
                <w:color w:val="000000"/>
                <w:sz w:val="22"/>
                <w:szCs w:val="22"/>
              </w:rPr>
              <w:t>Доля молодых лю</w:t>
              <w:softHyphen/>
              <w:t>дей, вовлеченных в добровольческую и общественную дея</w:t>
              <w:softHyphen/>
              <w:t>тельность</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113"/>
              <w:jc w:val="center"/>
              <w:rPr>
                <w:rFonts w:ascii="Times New Roman" w:hAnsi="Times New Roman" w:cs="Times New Roman"/>
                <w:color w:val="000000"/>
                <w:sz w:val="22"/>
                <w:szCs w:val="22"/>
              </w:rPr>
            </w:pPr>
            <w:r>
              <w:rPr>
                <w:rFonts w:cs="Times New Roman" w:ascii="Times New Roman" w:hAnsi="Times New Roman"/>
                <w:color w:val="000000"/>
                <w:sz w:val="22"/>
                <w:szCs w:val="22"/>
              </w:rPr>
              <w:t>процент</w:t>
            </w:r>
          </w:p>
        </w:tc>
        <w:tc>
          <w:tcPr>
            <w:tcW w:w="1292" w:type="dxa"/>
            <w:tcBorders>
              <w:left w:val="single" w:sz="4" w:space="0" w:color="000000"/>
              <w:bottom w:val="single" w:sz="4" w:space="0" w:color="000000"/>
            </w:tcBorders>
          </w:tcPr>
          <w:p>
            <w:pPr>
              <w:pStyle w:val="Normal"/>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x</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113"/>
              <w:jc w:val="both"/>
              <w:rPr/>
            </w:pPr>
            <w:r>
              <w:rPr>
                <w:rFonts w:cs="Times New Roman" w:ascii="Times New Roman" w:hAnsi="Times New Roman"/>
                <w:color w:val="000000"/>
                <w:sz w:val="22"/>
                <w:szCs w:val="22"/>
              </w:rPr>
              <w:t xml:space="preserve">Доля молодых людей, вовлеченных в добровольческую и общественную деятельность, в </w:t>
            </w:r>
            <w:r>
              <w:rPr>
                <w:rFonts w:cs="Times New Roman" w:ascii="Times New Roman" w:hAnsi="Times New Roman"/>
                <w:sz w:val="22"/>
                <w:szCs w:val="22"/>
              </w:rPr>
              <w:t>2025 году — 3,2%.</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1.5.1.</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Интеграция молодежи в процессы социально-экономического, общественно-политического, культурного развития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Проведение фестиваля-конкурса патриотической песни «Солдатский конверт»</w:t>
            </w:r>
          </w:p>
        </w:tc>
        <w:tc>
          <w:tcPr>
            <w:tcW w:w="1840" w:type="dxa"/>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Муниципальная программа «Молодежная политика»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Управление культуры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113"/>
              <w:jc w:val="both"/>
              <w:rPr>
                <w:highlight w:val="none"/>
                <w:shd w:fill="auto" w:val="clear"/>
              </w:rPr>
            </w:pPr>
            <w:r>
              <w:rPr>
                <w:rFonts w:cs="Times New Roman" w:ascii="Times New Roman" w:hAnsi="Times New Roman"/>
                <w:sz w:val="22"/>
                <w:szCs w:val="22"/>
                <w:shd w:fill="auto" w:val="clear"/>
              </w:rPr>
              <w:t>Фестиваль-конкурс патриотической песни «Солдатский конверт» состоялся 24.12.2025 года.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tabs>
                <w:tab w:val="clear" w:pos="708"/>
                <w:tab w:val="left" w:pos="1072" w:leader="none"/>
              </w:tabs>
              <w:suppressAutoHyphens w:val="true"/>
              <w:spacing w:lineRule="auto" w:line="240" w:before="0" w:after="113"/>
              <w:jc w:val="both"/>
              <w:rPr>
                <w:rFonts w:ascii="Times New Roman" w:hAnsi="Times New Roman" w:eastAsia="Calibri" w:cs="Times New Roman"/>
                <w:sz w:val="22"/>
                <w:szCs w:val="22"/>
                <w:lang w:eastAsia="en-US"/>
              </w:rPr>
            </w:pPr>
            <w:r>
              <w:rPr>
                <w:rFonts w:eastAsia="Calibri" w:cs="Times New Roman" w:ascii="Times New Roman" w:hAnsi="Times New Roman"/>
                <w:sz w:val="22"/>
                <w:szCs w:val="22"/>
                <w:lang w:eastAsia="en-US"/>
              </w:rPr>
              <w:t>Проведение военно-патриотической игры «Зарница»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Муниципальная программа «Развитие об</w:t>
              <w:softHyphen/>
              <w:t>разования»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Управление образования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t>х</w:t>
            </w:r>
          </w:p>
        </w:tc>
        <w:tc>
          <w:tcPr>
            <w:tcW w:w="3569" w:type="dxa"/>
            <w:tcBorders>
              <w:left w:val="single" w:sz="4" w:space="0" w:color="000000"/>
              <w:bottom w:val="single" w:sz="4" w:space="0" w:color="000000"/>
              <w:right w:val="single" w:sz="4" w:space="0" w:color="000000"/>
            </w:tcBorders>
          </w:tcPr>
          <w:p>
            <w:pPr>
              <w:pStyle w:val="Normal"/>
              <w:tabs>
                <w:tab w:val="clear" w:pos="708"/>
                <w:tab w:val="left" w:pos="1072" w:leader="none"/>
              </w:tabs>
              <w:suppressAutoHyphens w:val="true"/>
              <w:spacing w:lineRule="auto" w:line="240" w:before="0" w:after="113"/>
              <w:jc w:val="both"/>
              <w:rPr>
                <w:highlight w:val="none"/>
                <w:shd w:fill="auto" w:val="clear"/>
              </w:rPr>
            </w:pPr>
            <w:r>
              <w:rPr>
                <w:rFonts w:eastAsia="Calibri" w:cs="Times New Roman" w:ascii="Times New Roman" w:hAnsi="Times New Roman"/>
                <w:sz w:val="22"/>
                <w:szCs w:val="22"/>
                <w:shd w:fill="auto" w:val="clear"/>
                <w:lang w:eastAsia="en-US"/>
              </w:rPr>
              <w:t>Военно-патриотическая игра «Зарница» была проведена в октябре 2025 года.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Участие во всероссийском молодежном форуме «Машук»</w:t>
            </w:r>
          </w:p>
        </w:tc>
        <w:tc>
          <w:tcPr>
            <w:tcW w:w="1840" w:type="dxa"/>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Муниципальная программа «Развитие об</w:t>
              <w:softHyphen/>
              <w:t>разования»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Управление образования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Участие во всероссийском молодежном форуме «Машук» в 2025 году не состоялось.</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Проведение районного конкурса «Инаугурация президентов»  среди учащихся в образовательных учреж</w:t>
              <w:softHyphen/>
              <w:t>дениях</w:t>
            </w:r>
          </w:p>
        </w:tc>
        <w:tc>
          <w:tcPr>
            <w:tcW w:w="1840" w:type="dxa"/>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Муниципальная программа «Развитие об</w:t>
              <w:softHyphen/>
              <w:t>разование»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Управление образования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В 2025 году районный конкурс «Инаугурация президентов»  среди учащихся в образовательных учреждениях, не проводился.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д)</w:t>
            </w:r>
          </w:p>
        </w:tc>
        <w:tc>
          <w:tcPr>
            <w:tcW w:w="2863" w:type="dxa"/>
            <w:tcBorders>
              <w:left w:val="single" w:sz="4" w:space="0" w:color="000000"/>
              <w:bottom w:val="single" w:sz="4" w:space="0" w:color="000000"/>
              <w:right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Проведение культурно-массовых, спортивных, тематических мероприятий с участием молодежи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113"/>
              <w:jc w:val="both"/>
              <w:rPr/>
            </w:pPr>
            <w:r>
              <w:rPr>
                <w:rFonts w:cs="Times New Roman" w:ascii="Times New Roman" w:hAnsi="Times New Roman"/>
                <w:sz w:val="22"/>
                <w:szCs w:val="22"/>
              </w:rPr>
              <w:t>Муниципальная программа «Молодежная политика», м</w:t>
            </w:r>
            <w:r>
              <w:rPr>
                <w:rFonts w:eastAsia="" w:cs="Times New Roman" w:ascii="Times New Roman" w:hAnsi="Times New Roman"/>
                <w:sz w:val="22"/>
                <w:szCs w:val="22"/>
                <w:lang w:eastAsia="ru-RU"/>
              </w:rPr>
              <w:t>уници</w:t>
              <w:softHyphen/>
              <w:t>пальная программа «Развитие физической культуры и спорта», муниципальная про</w:t>
              <w:softHyphen/>
              <w:t>грамма «Развитие об</w:t>
              <w:softHyphen/>
              <w:t>разование»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113"/>
              <w:jc w:val="both"/>
              <w:rPr/>
            </w:pPr>
            <w:r>
              <w:rPr>
                <w:rFonts w:cs="Times New Roman" w:ascii="Times New Roman" w:hAnsi="Times New Roman"/>
                <w:sz w:val="22"/>
                <w:szCs w:val="22"/>
              </w:rPr>
              <w:t>Управление культуры АТМО СК, управление образования АТМО СК, о</w:t>
            </w:r>
            <w:r>
              <w:rPr>
                <w:rFonts w:eastAsia="" w:cs="Times New Roman" w:ascii="Times New Roman" w:hAnsi="Times New Roman"/>
                <w:sz w:val="22"/>
                <w:szCs w:val="22"/>
                <w:lang w:eastAsia="ru-RU"/>
              </w:rPr>
              <w:t>тдел социального развития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57" w:after="57"/>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113"/>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t>В 2025 году прошло районное мероприятие «Молодежь - будущее страны», посвященное Дню молодежи. Прошли соревнования по пляжному волейболу, Всероссийская акция «Я - гражданин России», Всероссийская акция «Соберем ребенку в школу», весной и осенью прошли турниры по игре «Городки».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1.5.2</w:t>
            </w:r>
          </w:p>
        </w:tc>
        <w:tc>
          <w:tcPr>
            <w:tcW w:w="11058" w:type="dxa"/>
            <w:gridSpan w:val="7"/>
            <w:tcBorders>
              <w:left w:val="single" w:sz="4" w:space="0" w:color="000000"/>
              <w:bottom w:val="single" w:sz="4" w:space="0" w:color="000000"/>
            </w:tcBorders>
          </w:tcPr>
          <w:p>
            <w:pPr>
              <w:pStyle w:val="Normal"/>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t>Развитие инфраструктуры по работе с молодежью</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113"/>
              <w:jc w:val="both"/>
              <w:rPr>
                <w:rFonts w:ascii="Times New Roman" w:hAnsi="Times New Roman" w:cs="Times New Roman"/>
                <w:sz w:val="22"/>
                <w:szCs w:val="22"/>
              </w:rPr>
            </w:pPr>
            <w:r>
              <w:rPr>
                <w:rFonts w:cs="Times New Roman" w:ascii="Times New Roman" w:hAnsi="Times New Roman"/>
                <w:sz w:val="22"/>
                <w:szCs w:val="22"/>
              </w:rPr>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Участие в работе некоммерческой организации «Молодежь востока Ставрополья»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Муниципальная программа «Молодежная политика»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Управление культуры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Участие округа в работе некоммерческой организации «Молодежь востока Ставрополья» в 2025 году не планировалось.</w:t>
            </w:r>
          </w:p>
        </w:tc>
      </w:tr>
      <w:tr>
        <w:trPr/>
        <w:tc>
          <w:tcPr>
            <w:tcW w:w="7192" w:type="dxa"/>
            <w:gridSpan w:val="5"/>
            <w:vMerge w:val="restart"/>
            <w:tcBorders>
              <w:left w:val="single" w:sz="4" w:space="0" w:color="000000"/>
              <w:bottom w:val="single" w:sz="4" w:space="0" w:color="000000"/>
              <w:right w:val="single" w:sz="4" w:space="0" w:color="000000"/>
            </w:tcBorders>
          </w:tcPr>
          <w:p>
            <w:pPr>
              <w:pStyle w:val="Normal"/>
              <w:spacing w:lineRule="auto" w:line="240" w:before="0" w:after="0"/>
              <w:jc w:val="left"/>
              <w:rPr>
                <w:rFonts w:ascii="Times New Roman" w:hAnsi="Times New Roman" w:cs="Times New Roman"/>
                <w:sz w:val="22"/>
                <w:szCs w:val="22"/>
              </w:rPr>
            </w:pPr>
            <w:r>
              <w:rPr>
                <w:rFonts w:cs="Times New Roman" w:ascii="Times New Roman" w:hAnsi="Times New Roman"/>
                <w:b/>
                <w:bCs/>
                <w:sz w:val="22"/>
                <w:szCs w:val="22"/>
              </w:rPr>
              <w:t>1.6. Повышение уровня жизни населения и социальная защита</w:t>
            </w:r>
          </w:p>
        </w:tc>
        <w:tc>
          <w:tcPr>
            <w:tcW w:w="234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Уровень зарегистри</w:t>
              <w:softHyphen/>
              <w:t>рованной безрабо</w:t>
              <w:softHyphen/>
              <w:t>тицы</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процент</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x</w:t>
            </w:r>
          </w:p>
        </w:tc>
        <w:tc>
          <w:tcPr>
            <w:tcW w:w="3569" w:type="dxa"/>
            <w:tcBorders>
              <w:left w:val="single" w:sz="4" w:space="0" w:color="000000"/>
              <w:bottom w:val="single" w:sz="4" w:space="0" w:color="000000"/>
              <w:right w:val="single" w:sz="4" w:space="0" w:color="000000"/>
            </w:tcBorders>
          </w:tcPr>
          <w:p>
            <w:pPr>
              <w:pStyle w:val="21"/>
              <w:shd w:val="clear" w:fill="FFFFFF"/>
              <w:spacing w:lineRule="auto" w:line="240" w:before="0" w:after="0"/>
              <w:ind w:hanging="0" w:left="0" w:right="35"/>
              <w:jc w:val="both"/>
              <w:rPr>
                <w:rFonts w:ascii="Times New Roman" w:hAnsi="Times New Roman" w:cs="Times New Roman"/>
                <w:sz w:val="22"/>
                <w:szCs w:val="22"/>
              </w:rPr>
            </w:pPr>
            <w:r>
              <w:rPr>
                <w:rFonts w:cs="Times New Roman" w:ascii="Times New Roman" w:hAnsi="Times New Roman"/>
                <w:sz w:val="22"/>
                <w:szCs w:val="22"/>
              </w:rPr>
              <w:t>По состоянию на 01.01.2026 года уровень зарегистрированной безра</w:t>
              <w:softHyphen/>
              <w:t>ботицы составил 0,3%, трудоустроено 166 человек.</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34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Численность населе</w:t>
              <w:softHyphen/>
              <w:t>ния с денежными до</w:t>
              <w:softHyphen/>
              <w:t>ходами ниже вели</w:t>
              <w:softHyphen/>
              <w:t>чины прожиточного минимума к общей численности населе</w:t>
              <w:softHyphen/>
              <w:t>ния</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процент</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Численность населения с денежными доходами ниже величины прожиточного минимума к общей численности населения за 2025 год — 16,02%.</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1.6.1.</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Осуществление отдельных государ</w:t>
              <w:softHyphen/>
              <w:t>ственных полномочий в области социальной поддержки отдельных ка</w:t>
              <w:softHyphen/>
              <w:t>тегорий граждан</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Предоставление мер  социальной поддержки 100 процентам граждан, обратившимся и имеющим право на их получение в соответствии с законодательством Российской Федерации и Ставропольского края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«Социальная поддержка граждан»</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УТСЗН</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Normal"/>
              <w:tabs>
                <w:tab w:val="clear" w:pos="708"/>
                <w:tab w:val="left" w:pos="5670" w:leader="none"/>
              </w:tabs>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Предоставлены меры социальной</w:t>
            </w:r>
          </w:p>
          <w:p>
            <w:pPr>
              <w:pStyle w:val="Normal"/>
              <w:tabs>
                <w:tab w:val="clear" w:pos="708"/>
                <w:tab w:val="left" w:pos="5670" w:leader="none"/>
              </w:tabs>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поддержки 100% граждан,</w:t>
            </w:r>
          </w:p>
          <w:p>
            <w:pPr>
              <w:pStyle w:val="Normal"/>
              <w:tabs>
                <w:tab w:val="clear" w:pos="708"/>
                <w:tab w:val="left" w:pos="5670" w:leader="none"/>
              </w:tabs>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обратившимся и имеющим право на их получение в соответствии с законодательством Российской Федерации и Ставропольского края.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Информирование, консультирова</w:t>
              <w:softHyphen/>
              <w:t>ние, а также предоставление госу</w:t>
              <w:softHyphen/>
              <w:t>дарственных услуг в области социальной поддержки населения, переданных для осуществления органам местного самоуправления округа в соответствии с законодательством Российской Федерации и Ставро</w:t>
              <w:softHyphen/>
              <w:t>польского края.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«Социальная поддержка граждан»</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УТСЗН</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Normal"/>
              <w:tabs>
                <w:tab w:val="clear" w:pos="708"/>
                <w:tab w:val="left" w:pos="5670" w:leader="none"/>
              </w:tabs>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Информирование граждан по предоставлению государственных услуг проводилось путем размещения информации на стендах в управлении,  территориальных управлениях округа. Разрабатываются и вручаются гражданам памятки, работает телефон «горячей линии». На официальном сайте администрации Туркменского муниципального округа размещено 57 материалов по вопросам труда и социальной поддержки населения, 107 материалов размещено в социальных сетях. Вопросы  социально-трудовой сферы освещаются на страницах районной газеты «Рассвет» (5 публикаций).</w:t>
            </w:r>
          </w:p>
          <w:p>
            <w:pPr>
              <w:pStyle w:val="Normal"/>
              <w:tabs>
                <w:tab w:val="clear" w:pos="708"/>
                <w:tab w:val="left" w:pos="5670" w:leader="none"/>
              </w:tabs>
              <w:spacing w:lineRule="auto" w:line="240" w:before="0" w:after="0"/>
              <w:jc w:val="both"/>
              <w:rPr/>
            </w:pPr>
            <w:r>
              <w:rPr>
                <w:rFonts w:eastAsia="Times New Roman" w:cs="Times New Roman" w:ascii="Times New Roman" w:hAnsi="Times New Roman"/>
                <w:sz w:val="22"/>
                <w:szCs w:val="22"/>
                <w:lang w:eastAsia="ru-RU"/>
              </w:rPr>
              <w:t>В течение 2025 года специалистами  управления проведено консультирование 1102 граждан по вопросам предоставления мер социальной поддержки.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Создание благоприятных условий для жизнедеятельности семей,  в том числе с помощью материальной под</w:t>
              <w:softHyphen/>
              <w:t>держки в виде заключенного с малоимущей семьей социального кон</w:t>
              <w:softHyphen/>
              <w:t>тракта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«Социальная поддержка граждан»</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УТСЗН</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Normal"/>
              <w:tabs>
                <w:tab w:val="clear" w:pos="708"/>
                <w:tab w:val="left" w:pos="5670" w:leader="none"/>
              </w:tabs>
              <w:spacing w:lineRule="auto" w:line="240" w:before="0" w:after="0"/>
              <w:jc w:val="both"/>
              <w:rPr/>
            </w:pPr>
            <w:r>
              <w:rPr>
                <w:rFonts w:eastAsia="Times New Roman" w:cs="Times New Roman" w:ascii="Times New Roman" w:hAnsi="Times New Roman"/>
                <w:sz w:val="22"/>
                <w:szCs w:val="22"/>
                <w:lang w:eastAsia="ru-RU"/>
              </w:rPr>
              <w:t xml:space="preserve"> </w:t>
            </w:r>
            <w:r>
              <w:rPr>
                <w:rFonts w:eastAsia="Times New Roman" w:cs="Times New Roman" w:ascii="Times New Roman" w:hAnsi="Times New Roman"/>
                <w:sz w:val="22"/>
                <w:szCs w:val="22"/>
                <w:lang w:eastAsia="ru-RU"/>
              </w:rPr>
              <w:t>С 2025 года государственная социальная помощь на основании социального контракта реализуется в рамках регионального проекта «Многодетная семья» национального проекта «Семья». Финансовое обеспечение  составило 10 577,90 тыс. рублей, денежные средства освоены на 99,9%. Всего заключено 48 социальных контрактов (2024 г. – 35 социальных контрактов). В том числе по направлениям: поиск работы – 14 контрактов, осуществление предпринимательской деятельности – 20 контрактов, ведение личного подсобного хозяйства – 14 контрактов.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1.6.2.</w:t>
            </w:r>
          </w:p>
        </w:tc>
        <w:tc>
          <w:tcPr>
            <w:tcW w:w="14627" w:type="dxa"/>
            <w:gridSpan w:val="8"/>
            <w:tcBorders>
              <w:left w:val="single" w:sz="4" w:space="0" w:color="000000"/>
              <w:bottom w:val="single" w:sz="4" w:space="0" w:color="000000"/>
              <w:right w:val="single" w:sz="4" w:space="0" w:color="000000"/>
            </w:tcBorders>
          </w:tcPr>
          <w:p>
            <w:pPr>
              <w:pStyle w:val="Normal"/>
              <w:spacing w:before="0" w:after="20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Развитие системы предоставления дополнительных мер социальной поддержки отдельным категориям граждан</w:t>
            </w:r>
          </w:p>
        </w:tc>
      </w:tr>
      <w:tr>
        <w:trPr>
          <w:trHeight w:val="1821" w:hRule="atLeast"/>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143"/>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Информирование, консультирование граждан, а также предоставление муниципальных услуг в области социальной поддержки населения, определенных муниципальными нор</w:t>
              <w:softHyphen/>
              <w:t>мативными правовыми актами округа</w:t>
            </w:r>
          </w:p>
        </w:tc>
        <w:tc>
          <w:tcPr>
            <w:tcW w:w="1840" w:type="dxa"/>
            <w:tcBorders>
              <w:left w:val="single" w:sz="4" w:space="0" w:color="000000"/>
              <w:bottom w:val="single" w:sz="4" w:space="0" w:color="000000"/>
              <w:right w:val="single" w:sz="4" w:space="0" w:color="000000"/>
            </w:tcBorders>
          </w:tcPr>
          <w:p>
            <w:pPr>
              <w:pStyle w:val="Normal"/>
              <w:spacing w:before="0" w:after="200"/>
              <w:jc w:val="both"/>
              <w:rPr>
                <w:rFonts w:ascii="Times New Roman" w:hAnsi="Times New Roman" w:eastAsia="" w:cs="Times New Roman"/>
                <w:sz w:val="22"/>
                <w:szCs w:val="22"/>
                <w:lang w:eastAsia="ja-JP"/>
              </w:rPr>
            </w:pPr>
            <w:r>
              <w:rPr>
                <w:rFonts w:eastAsia="" w:cs="Times New Roman" w:ascii="Times New Roman" w:hAnsi="Times New Roman"/>
                <w:sz w:val="22"/>
                <w:szCs w:val="22"/>
                <w:lang w:eastAsia="ja-JP"/>
              </w:rPr>
              <w:t>Внепрограммные мероприятия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УТСЗН</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Normal"/>
              <w:tabs>
                <w:tab w:val="clear" w:pos="708"/>
                <w:tab w:val="left" w:pos="5670" w:leader="none"/>
              </w:tabs>
              <w:spacing w:lineRule="auto" w:line="240" w:before="0" w:after="0"/>
              <w:jc w:val="both"/>
              <w:rPr/>
            </w:pPr>
            <w:r>
              <w:rPr>
                <w:rFonts w:eastAsia="Times New Roman" w:cs="Times New Roman" w:ascii="Times New Roman" w:hAnsi="Times New Roman"/>
                <w:sz w:val="22"/>
                <w:szCs w:val="22"/>
                <w:lang w:eastAsia="ru-RU"/>
              </w:rPr>
              <w:t>В целях повышения материального обеспечения семей, имеющих низкие доходы, управлением осуществляется признание статуса малоимущей семьи. Признание семьи малоимущей служит основанием для получения детьми питания по льготной цене в общеобразовательных учреждениях, бесплатных путевок в детские санаторно-оздоровительные лагеря, оказания материальной по</w:t>
            </w:r>
            <w:r>
              <w:rPr>
                <w:rFonts w:eastAsia="Times New Roman" w:cs="Times New Roman" w:ascii="Times New Roman" w:hAnsi="Times New Roman"/>
                <w:sz w:val="22"/>
                <w:szCs w:val="22"/>
                <w:shd w:fill="auto" w:val="clear"/>
                <w:lang w:eastAsia="ru-RU"/>
              </w:rPr>
              <w:t>мощи.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1.6.3.</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Совершенствование социальной поддержки семьи и детей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ja-JP"/>
              </w:rPr>
            </w:pPr>
            <w:r>
              <w:rPr>
                <w:rFonts w:eastAsia="" w:cs="Times New Roman" w:ascii="Times New Roman" w:hAnsi="Times New Roman"/>
                <w:sz w:val="22"/>
                <w:szCs w:val="22"/>
                <w:lang w:eastAsia="ja-JP"/>
              </w:rPr>
              <w:t>Привлечение отдельных категорий граждан к активному участию в ме</w:t>
              <w:softHyphen/>
              <w:t>роприятиях, направленных на укрепление семейных ценностей</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культуры АТМО СК, управление образования АТМО СК, территориальные управления АТМО СК, УТСЗН</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Normal"/>
              <w:spacing w:lineRule="auto" w:line="240" w:before="0" w:after="0"/>
              <w:ind w:hanging="0"/>
              <w:jc w:val="both"/>
              <w:rPr>
                <w:rFonts w:ascii="Times New Roman" w:hAnsi="Times New Roman"/>
                <w:sz w:val="22"/>
                <w:szCs w:val="22"/>
              </w:rPr>
            </w:pPr>
            <w:r>
              <w:rPr>
                <w:rFonts w:ascii="Times New Roman" w:hAnsi="Times New Roman"/>
                <w:sz w:val="22"/>
                <w:szCs w:val="22"/>
              </w:rPr>
              <w:t>Ко Дню семьи, любви и верности две семейные пары награждены медалями «За любовь и верность»  и 3 семейные пары медалями «За сохранение семейных ценностей» .</w:t>
            </w:r>
          </w:p>
          <w:p>
            <w:pPr>
              <w:pStyle w:val="Normal"/>
              <w:spacing w:lineRule="auto" w:line="240" w:before="0" w:after="0"/>
              <w:ind w:hanging="0"/>
              <w:jc w:val="both"/>
              <w:rPr>
                <w:sz w:val="28"/>
                <w:szCs w:val="28"/>
              </w:rPr>
            </w:pPr>
            <w:r>
              <w:rPr>
                <w:rFonts w:eastAsia="Times New Roman" w:cs="Times New Roman" w:ascii="Times New Roman" w:hAnsi="Times New Roman"/>
                <w:sz w:val="22"/>
                <w:szCs w:val="22"/>
                <w:lang w:eastAsia="ru-RU"/>
              </w:rPr>
              <w:t>В целях выполнения Закона Ставропольского края «О дополнительных социальных гарантиях участникам специальной военной операции и мерах социальной поддержки членов их семей» сформировано и направлено в Министерство труда и социальной защиты населения Ставропольского края на выплату 101 пакет документов военнослужащих по награде, ранению и рождению детей, на погребение членам семей, что в 2,38 раза больше, чем в 2024 году.</w:t>
            </w:r>
          </w:p>
        </w:tc>
      </w:tr>
      <w:tr>
        <w:trPr>
          <w:trHeight w:val="311" w:hRule="atLeast"/>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1.6.4.</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Реабилитация людей с ограниченными возможностями здоровья и пожилых людей.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ja-JP"/>
              </w:rPr>
            </w:pPr>
            <w:r>
              <w:rPr>
                <w:rFonts w:eastAsia="" w:cs="Times New Roman" w:ascii="Times New Roman" w:hAnsi="Times New Roman"/>
                <w:sz w:val="22"/>
                <w:szCs w:val="22"/>
                <w:lang w:eastAsia="ja-JP"/>
              </w:rPr>
              <w:t>Привлечение инвалидов, детей – инвалидов, пожилых граждан к участию в культурно – массовых мероприятиях на территории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культуры АТМО СК, управление образования АТМО СК, территориальные управления АТМО СК, УТСЗН</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BodyTextIndented"/>
              <w:spacing w:lineRule="auto" w:line="240"/>
              <w:ind w:hanging="0"/>
              <w:jc w:val="both"/>
              <w:rPr>
                <w:sz w:val="22"/>
                <w:szCs w:val="22"/>
              </w:rPr>
            </w:pPr>
            <w:r>
              <w:rPr>
                <w:rFonts w:eastAsia="Times New Roman"/>
                <w:sz w:val="22"/>
                <w:szCs w:val="22"/>
                <w:lang w:eastAsia="ru-RU"/>
              </w:rPr>
              <w:t xml:space="preserve">Спортивно-массовая и физкультурно-оздоровительная работа среди инвалидов, в основном, проводится на базе ДЮСШ и его филиалах на территориях поселений. </w:t>
            </w:r>
            <w:r>
              <w:rPr>
                <w:rFonts w:eastAsia="Times New Roman"/>
                <w:sz w:val="22"/>
                <w:szCs w:val="28"/>
                <w:lang w:eastAsia="ru-RU"/>
              </w:rPr>
              <w:t>Среди инвалидов проводятся турниры и спартакиады.</w:t>
            </w:r>
          </w:p>
          <w:p>
            <w:pPr>
              <w:pStyle w:val="BodyTextIndented"/>
              <w:spacing w:lineRule="auto" w:line="240"/>
              <w:ind w:hanging="0"/>
              <w:jc w:val="both"/>
              <w:rPr>
                <w:sz w:val="22"/>
                <w:szCs w:val="22"/>
              </w:rPr>
            </w:pPr>
            <w:r>
              <w:rPr>
                <w:rFonts w:eastAsia="Times New Roman"/>
                <w:sz w:val="22"/>
                <w:szCs w:val="28"/>
                <w:lang w:eastAsia="ru-RU"/>
              </w:rPr>
              <w:t xml:space="preserve">24 декабря 2025 года проведена Предновогодняя спартакиада инвалидов. </w:t>
            </w:r>
            <w:r>
              <w:rPr>
                <w:rFonts w:eastAsia="Times New Roman"/>
                <w:sz w:val="22"/>
                <w:szCs w:val="22"/>
                <w:lang w:eastAsia="ru-RU"/>
              </w:rPr>
              <w:t>Инвалиды принимают участие во всех комплексных спортивных мероприятиях по таким видам спорта как: дартс, гиревой спорт, армспорт, шахматы, шашки, настольному теннису.  Они активно участвуют в спортивной жизни округа, а также в краевых спортивных мероприятиях.</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1.6.5.</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Создание «доступной среды» для инвалидов и других маломобильных групп населения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Создание безбарьерной среды в муниципальных учреждениях культуры, образования, в муниципальных учреждениях дополнительного образования сферы культуры, образования, спорта, пешеходной инфра</w:t>
              <w:softHyphen/>
              <w:t>структуры Туркменского муниципального округа</w:t>
            </w:r>
            <w:bookmarkStart w:id="0" w:name="_GoBack_Копия_1"/>
            <w:bookmarkEnd w:id="0"/>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культуры АТМО СК, управление образования АТМО СК, управление муни</w:t>
              <w:softHyphen/>
              <w:t>ципального хозяйства, транс</w:t>
              <w:softHyphen/>
              <w:t>порта, дорожной деятельно</w:t>
              <w:softHyphen/>
              <w:t>сти АТМО СК, УТСЗН</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Normal"/>
              <w:tabs>
                <w:tab w:val="clear" w:pos="708"/>
                <w:tab w:val="left" w:pos="5670" w:leader="none"/>
              </w:tabs>
              <w:spacing w:lineRule="auto" w:line="240" w:before="0" w:after="0"/>
              <w:jc w:val="both"/>
              <w:rPr/>
            </w:pPr>
            <w:r>
              <w:rPr>
                <w:rFonts w:eastAsia="Times New Roman" w:cs="Times New Roman" w:ascii="Times New Roman" w:hAnsi="Times New Roman"/>
                <w:sz w:val="22"/>
                <w:szCs w:val="22"/>
                <w:lang w:eastAsia="ru-RU"/>
              </w:rPr>
              <w:t xml:space="preserve"> </w:t>
            </w:r>
            <w:r>
              <w:rPr>
                <w:rFonts w:eastAsia="Times New Roman" w:cs="Times New Roman" w:ascii="Times New Roman" w:hAnsi="Times New Roman"/>
                <w:sz w:val="22"/>
                <w:szCs w:val="22"/>
                <w:lang w:eastAsia="ru-RU"/>
              </w:rPr>
              <w:t>По состоянию на 1 января 2026 года на территории округа 111 приоритетных объектов социального назначения, из них 76 приспособлены с учетом потребностей инвалидов и маломобильных групп населения.</w:t>
            </w:r>
          </w:p>
          <w:p>
            <w:pPr>
              <w:pStyle w:val="Normal"/>
              <w:tabs>
                <w:tab w:val="clear" w:pos="708"/>
                <w:tab w:val="left" w:pos="5670" w:leader="none"/>
              </w:tabs>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Проводится работа по выполнению распоряжения правительства Ставропольского края от 07.07.2017 г. № 185-рп «О некоторых мерах по созданию портала Ставропольского края «Доступная среда». На 01.01.2026 на портал внесены сведения о доступности 47 объектов, находящихся в муниципальной собственности.</w:t>
            </w:r>
          </w:p>
          <w:p>
            <w:pPr>
              <w:pStyle w:val="Normal"/>
              <w:tabs>
                <w:tab w:val="clear" w:pos="708"/>
                <w:tab w:val="left" w:pos="5670" w:leader="none"/>
              </w:tabs>
              <w:spacing w:lineRule="auto" w:line="240" w:before="0" w:after="0"/>
              <w:jc w:val="both"/>
              <w:rPr/>
            </w:pPr>
            <w:r>
              <w:rPr>
                <w:rFonts w:eastAsia="Times New Roman" w:cs="Times New Roman" w:ascii="Times New Roman" w:hAnsi="Times New Roman"/>
                <w:sz w:val="22"/>
                <w:szCs w:val="22"/>
                <w:lang w:eastAsia="ru-RU"/>
              </w:rPr>
              <w:t xml:space="preserve">Проводится ежегодный мониторинг выполнения мероприятий «дорожной карты», утвержденной  постановлением администрации Туркменского муниципального округа от 15.10.2024 г. № 865 «Об утверждении плана мероприятий («дорожной карты») по повышению значений показателей доступности для инвалидов объектов и услуг Туркменского муниципального округа Ставропольского края» на 2024-2030 годы. </w:t>
            </w:r>
            <w:r>
              <w:rPr>
                <w:rFonts w:cs="Times New Roman" w:ascii="Times New Roman" w:hAnsi="Times New Roman"/>
                <w:iCs/>
                <w:sz w:val="22"/>
                <w:szCs w:val="22"/>
                <w:shd w:fill="FFFFFF" w:val="clear"/>
              </w:rPr>
              <w:t>В учреждениях культуры ведется работа по созданию безбарьерной среды для инвалидов и других мобильных групп населения.</w:t>
            </w:r>
          </w:p>
        </w:tc>
      </w:tr>
      <w:tr>
        <w:trPr/>
        <w:tc>
          <w:tcPr>
            <w:tcW w:w="15353" w:type="dxa"/>
            <w:gridSpan w:val="9"/>
            <w:tcBorders>
              <w:left w:val="single" w:sz="4" w:space="0" w:color="000000"/>
              <w:bottom w:val="single" w:sz="4" w:space="0" w:color="000000"/>
              <w:right w:val="single" w:sz="4" w:space="0" w:color="000000"/>
            </w:tcBorders>
          </w:tcPr>
          <w:p>
            <w:pPr>
              <w:pStyle w:val="Normal"/>
              <w:spacing w:lineRule="auto" w:line="240" w:before="0" w:after="0"/>
              <w:jc w:val="left"/>
              <w:rPr>
                <w:rFonts w:ascii="Times New Roman" w:hAnsi="Times New Roman" w:cs="Times New Roman"/>
                <w:sz w:val="22"/>
                <w:szCs w:val="22"/>
              </w:rPr>
            </w:pPr>
            <w:r>
              <w:rPr>
                <w:rFonts w:cs="Times New Roman" w:ascii="Times New Roman" w:hAnsi="Times New Roman"/>
                <w:b/>
                <w:bCs/>
                <w:sz w:val="22"/>
                <w:szCs w:val="22"/>
              </w:rPr>
              <w:t>1.7. Развитие туризма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1.7.1.</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Создание благоприятных экономических условий для развития туризма в округе</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Содействие в создании и развитии придорожного сервиса на территории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экономического разви</w:t>
              <w:softHyphen/>
              <w:t>тия и закупок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both"/>
              <w:rPr/>
            </w:pPr>
            <w:r>
              <w:rPr>
                <w:rFonts w:cs="Times New Roman" w:ascii="Times New Roman" w:hAnsi="Times New Roman"/>
                <w:sz w:val="22"/>
                <w:szCs w:val="22"/>
                <w:shd w:fill="FFFFFF" w:val="clear"/>
                <w:lang w:val="ru-RU"/>
              </w:rPr>
              <w:t xml:space="preserve">На территории округа имеются объекты придорожного </w:t>
            </w:r>
            <w:r>
              <w:rPr>
                <w:rFonts w:cs="Times New Roman" w:ascii="Times New Roman" w:hAnsi="Times New Roman"/>
                <w:b w:val="false"/>
                <w:bCs w:val="false"/>
                <w:sz w:val="22"/>
                <w:szCs w:val="22"/>
                <w:shd w:fill="FFFFFF" w:val="clear"/>
                <w:lang w:val="ru-RU"/>
              </w:rPr>
              <w:t>сервиса</w:t>
            </w:r>
            <w:r>
              <w:rPr>
                <w:rFonts w:cs="Times New Roman" w:ascii="Times New Roman" w:hAnsi="Times New Roman"/>
                <w:sz w:val="22"/>
                <w:szCs w:val="22"/>
                <w:shd w:fill="FFFFFF" w:val="clear"/>
                <w:lang w:val="ru-RU"/>
              </w:rPr>
              <w:t>, расположенные на придорожной полосе  автомобильных дорог и предназначенные для обслуживания участников дорожного движения в пути следования: станции технического обслуживания автотранспорта, объекты общественного питания, автозаправочные станции, стоянки для легкового и грузового автотранспорта.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1.7.2.</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Интеграция туризма в действующую систему организации досугово-раз</w:t>
              <w:softHyphen/>
              <w:t>влекательной деятельности и спорта на территории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w:t>
              <w:softHyphen/>
              <w:t>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культуры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В настоящее время,  туризм в округе развивается как система, которая предоставляет возможности знакомиться с историей, культурой, обычаями, духовными и религиозными ценностями народов округа. Слабое развитие инфраструктуры туризма, отсутствие мотивационных механизмов привлечения инвестиций в туризм и полное отсутствие объектов, не позволяют развиваться туризму.</w:t>
            </w:r>
          </w:p>
          <w:p>
            <w:pPr>
              <w:pStyle w:val="Normal"/>
              <w:snapToGrid w:val="false"/>
              <w:spacing w:lineRule="auto" w:line="240" w:before="0" w:after="0"/>
              <w:jc w:val="both"/>
              <w:rPr/>
            </w:pPr>
            <w:r>
              <w:rPr>
                <w:rFonts w:cs="Times New Roman" w:ascii="Times New Roman" w:hAnsi="Times New Roman"/>
                <w:color w:val="000000"/>
                <w:sz w:val="22"/>
                <w:szCs w:val="22"/>
              </w:rPr>
              <w:t>В рамках проекта «История и достопримечательности родного села» состоялась экскурсионная поездка по селу Овощи,</w:t>
            </w:r>
            <w:r>
              <w:rPr>
                <w:rFonts w:cs="Times New Roman" w:ascii="Times New Roman" w:hAnsi="Times New Roman"/>
                <w:sz w:val="22"/>
                <w:szCs w:val="22"/>
              </w:rPr>
              <w:t xml:space="preserve"> </w:t>
            </w:r>
            <w:r>
              <w:rPr>
                <w:rFonts w:cs="Times New Roman" w:ascii="Times New Roman" w:hAnsi="Times New Roman"/>
                <w:color w:val="000000"/>
                <w:sz w:val="22"/>
                <w:szCs w:val="22"/>
              </w:rPr>
              <w:t>организованная МКУК «Межпоселенческая центральная библиотека» ТМО СК совместно с работниками Овощинской сельской библиотеки – структурным подразделе</w:t>
            </w:r>
            <w:r>
              <w:rPr>
                <w:rFonts w:cs="Times New Roman" w:ascii="Times New Roman" w:hAnsi="Times New Roman"/>
                <w:color w:val="000000"/>
                <w:sz w:val="22"/>
                <w:szCs w:val="22"/>
                <w:shd w:fill="FFFFFF" w:val="clear"/>
              </w:rPr>
              <w:t>нием    № 5 МКУК «МЦБ» ТМО СК. Пройдя по маршрутной тропе, участники экскурсии познакомились с достопримечательными и памятными местами села: Мельница, Имение Грибановых, Картинная галерея Алексея Егоровича Соколенко, Братская могила 44 красных партизан, погибших в 1918 - 1920 гг., Памятник-бюст Генерал-лейтенанту Селиванову И. В., «Красная школа», Памятник Наумову Давиду Ивановичу, Мемориальный комплекс «Неизвестному солдату», Памятник Ленину В. 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1.7.3.</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Создание системы информационного обеспечения туризма, развитие сотрудничества в области туризма с соседними территориями края и субъектами Российской Федерации.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Проведение работы по поиску потенциальных инвесторов в сфере туризма и их информированию о воз</w:t>
              <w:softHyphen/>
              <w:t>можных мерах государственной поддержки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w:t>
              <w:softHyphen/>
              <w:t>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экономического разви</w:t>
              <w:softHyphen/>
              <w:t>тия и закупок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Отделом экономического развития и закупок АТМО СК проводится работа по информированию населения о мерах государственной поддержки, путем размещения информации на официальном сайте АТМО СК в разделе «Туризм» и «Государственная поддержка». Ведется работа по поиску потенциальных инвесторов в сфере туризма.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Освещение  предстоящих событийных мероприятий в сфере туризма в крае в средствах массовой информации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культуры АТМО СК, отдел экономического развития и закупок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pPr>
            <w:r>
              <w:rPr>
                <w:rFonts w:eastAsia="" w:cs="Times New Roman" w:ascii="Times New Roman" w:hAnsi="Times New Roman"/>
                <w:sz w:val="22"/>
                <w:szCs w:val="22"/>
                <w:lang w:eastAsia="ru-RU"/>
              </w:rPr>
              <w:t>Управлением культуры АТМО СК, отделом экономического развития и закупок АТМО СК</w:t>
            </w:r>
            <w:r>
              <w:rPr>
                <w:rFonts w:cs="Times New Roman" w:ascii="Times New Roman" w:hAnsi="Times New Roman"/>
                <w:sz w:val="22"/>
                <w:szCs w:val="22"/>
              </w:rPr>
              <w:t xml:space="preserve"> ведется освещение  предстоящих событийных мероприятий в сфере туризма в Ставропольском крае в средствах массовой информации округа. </w:t>
            </w:r>
            <w:r>
              <w:rPr>
                <w:rFonts w:cs="Times New Roman" w:ascii="Times New Roman" w:hAnsi="Times New Roman"/>
                <w:color w:val="000000"/>
                <w:sz w:val="22"/>
                <w:szCs w:val="22"/>
              </w:rPr>
              <w:t>Информация о запланированных и   проведенных мероприятиях на постоянной основе освещается в средствах массовой информации Туркменского муниципального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1.7.4.</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Сохранение природного и историко-культурного наследия, развитие музейно-выставочного дела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Проведение экскурсий для учащихся общеобразовательных школ</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культуры АТМО СК, управление образования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snapToGrid w:val="false"/>
              <w:spacing w:lineRule="auto" w:line="240" w:before="0" w:after="0"/>
              <w:jc w:val="center"/>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lang w:eastAsia="ru-RU"/>
              </w:rPr>
              <w:t>Специалистами управления культуры АТМО СК, управления образования АТМО СК проводятся экскурсии для учащихся общеобразовательных школ.</w:t>
            </w:r>
          </w:p>
          <w:p>
            <w:pPr>
              <w:pStyle w:val="Normal"/>
              <w:snapToGrid w:val="false"/>
              <w:spacing w:lineRule="auto" w:line="240" w:before="0" w:after="0"/>
              <w:jc w:val="both"/>
              <w:rPr>
                <w:highlight w:val="none"/>
                <w:shd w:fill="auto" w:val="clear"/>
              </w:rPr>
            </w:pPr>
            <w:r>
              <w:rPr>
                <w:rFonts w:cs="Times New Roman" w:ascii="Times New Roman" w:hAnsi="Times New Roman"/>
                <w:sz w:val="22"/>
                <w:szCs w:val="22"/>
                <w:shd w:fill="auto" w:val="clear"/>
              </w:rPr>
              <w:t>В рамках краевой социально значимой акции «Моя семья, мой край, моя Россия», посвящённой празднованию Дня Ставропольского края, Куликово - Копанская сельская библиотека провела для учеников МКОУ СОШ № 8 литературно-краеведческий круиз «Листая книжные страницы, мы путешествуем по краю».</w:t>
              <w:br/>
              <w:t>Библиотекарь познакомила ребят с символикой края и объяснила, что герб и флаг могут многое рассказать об истории края и его географическом положении. Далее рассказала ребятам о климатических особенностях Ставропольского края, о богатой природе: о долинах, чистых реках, горных хребтах, целебных источниках, а также о разнообразном животном мире, который насчитывает более 400 различных видов. В библиотеке оформлена книжная выставка «Здесь я родился, здесь я живу».</w:t>
            </w:r>
          </w:p>
        </w:tc>
      </w:tr>
      <w:tr>
        <w:trPr/>
        <w:tc>
          <w:tcPr>
            <w:tcW w:w="15353" w:type="dxa"/>
            <w:gridSpan w:val="9"/>
            <w:tcBorders>
              <w:left w:val="single" w:sz="4" w:space="0" w:color="000000"/>
              <w:bottom w:val="single" w:sz="4" w:space="0" w:color="000000"/>
              <w:right w:val="single" w:sz="4" w:space="0" w:color="000000"/>
            </w:tcBorders>
          </w:tcPr>
          <w:p>
            <w:pPr>
              <w:pStyle w:val="Normal"/>
              <w:spacing w:lineRule="auto" w:line="240" w:before="0" w:after="0"/>
              <w:jc w:val="left"/>
              <w:rPr>
                <w:rFonts w:ascii="Times New Roman" w:hAnsi="Times New Roman" w:eastAsia="" w:cs="Times New Roman"/>
                <w:sz w:val="22"/>
                <w:szCs w:val="22"/>
                <w:lang w:eastAsia="ru-RU"/>
              </w:rPr>
            </w:pPr>
            <w:r>
              <w:rPr>
                <w:rFonts w:eastAsia="" w:cs="Times New Roman" w:ascii="Times New Roman" w:hAnsi="Times New Roman"/>
                <w:b/>
                <w:bCs/>
                <w:sz w:val="22"/>
                <w:szCs w:val="22"/>
                <w:lang w:eastAsia="ru-RU"/>
              </w:rPr>
              <w:t>1.8. Информационное общество, оптимизация и повышение качества предоставления государственных и муниципальных услуг</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1.8.1.</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Обеспечение функционирования и развития информационно-телекоммуникационной инфраструктуры органов местного самоуправления округа.</w:t>
            </w:r>
          </w:p>
        </w:tc>
      </w:tr>
      <w:tr>
        <w:trPr/>
        <w:tc>
          <w:tcPr>
            <w:tcW w:w="726" w:type="dxa"/>
            <w:tcBorders>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 w:cs="Times New Roman"/>
                <w:color w:val="000000"/>
                <w:sz w:val="24"/>
                <w:szCs w:val="24"/>
                <w:lang w:eastAsia="ru-RU"/>
              </w:rPr>
            </w:pPr>
            <w:r>
              <w:rPr>
                <w:rFonts w:eastAsia="" w:cs="Times New Roman" w:ascii="Times New Roman" w:hAnsi="Times New Roman"/>
                <w:color w:val="000000"/>
                <w:sz w:val="24"/>
                <w:szCs w:val="24"/>
                <w:lang w:eastAsia="ru-RU"/>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lang w:eastAsia="ja-JP"/>
              </w:rPr>
            </w:pPr>
            <w:r>
              <w:rPr>
                <w:rFonts w:cs="Times New Roman" w:ascii="Times New Roman" w:hAnsi="Times New Roman"/>
                <w:sz w:val="22"/>
                <w:szCs w:val="22"/>
                <w:lang w:eastAsia="ja-JP"/>
              </w:rPr>
              <w:t>Обеспечение функционирования и развития единой сети передачи данных органов местного самоуправле</w:t>
              <w:softHyphen/>
              <w:t>ния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rPr>
              <w:t>О</w:t>
            </w:r>
            <w:r>
              <w:rPr>
                <w:rFonts w:eastAsia="" w:cs="Times New Roman" w:ascii="Times New Roman" w:hAnsi="Times New Roman"/>
                <w:sz w:val="22"/>
                <w:szCs w:val="22"/>
                <w:lang w:eastAsia="ru-RU"/>
              </w:rPr>
              <w:t>тдел по организационным и общим вопросам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lang w:eastAsia="ja-JP"/>
              </w:rPr>
            </w:pPr>
            <w:r>
              <w:rPr>
                <w:rFonts w:cs="Times New Roman" w:ascii="Times New Roman" w:hAnsi="Times New Roman"/>
                <w:sz w:val="22"/>
                <w:szCs w:val="22"/>
                <w:lang w:eastAsia="ja-JP"/>
              </w:rPr>
              <w:t>Обеспечено развитие и функционирование единой сети передачи дан</w:t>
              <w:softHyphen/>
              <w:t>ных органов местного самоуправле</w:t>
              <w:softHyphen/>
              <w:t>ния округа в органы исполнительной власти СК.</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lang w:eastAsia="ja-JP"/>
              </w:rPr>
            </w:pPr>
            <w:r>
              <w:rPr>
                <w:rFonts w:cs="Times New Roman" w:ascii="Times New Roman" w:hAnsi="Times New Roman"/>
                <w:sz w:val="22"/>
                <w:szCs w:val="22"/>
                <w:lang w:eastAsia="ja-JP"/>
              </w:rPr>
              <w:t>Оснащение органов местного самоуправления округа необходимой компьютерной и другой оргтехникой, прикладным программным обеспечением</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rPr>
              <w:t>О</w:t>
            </w:r>
            <w:r>
              <w:rPr>
                <w:rFonts w:eastAsia="" w:cs="Times New Roman" w:ascii="Times New Roman" w:hAnsi="Times New Roman"/>
                <w:sz w:val="22"/>
                <w:szCs w:val="22"/>
                <w:lang w:eastAsia="ru-RU"/>
              </w:rPr>
              <w:t>тдел по организационным и общим вопросам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lang w:eastAsia="ja-JP"/>
              </w:rPr>
            </w:pPr>
            <w:r>
              <w:rPr>
                <w:rFonts w:cs="Times New Roman" w:ascii="Times New Roman" w:hAnsi="Times New Roman"/>
                <w:sz w:val="22"/>
                <w:szCs w:val="22"/>
                <w:lang w:eastAsia="ja-JP"/>
              </w:rPr>
              <w:t>Органы местного самоуправления округа оснащены необходимой компьютерной и другой оргтехни</w:t>
              <w:softHyphen/>
              <w:t>кой, прикладным программным обеспечением в достаточном количестве.</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4"/>
                <w:szCs w:val="24"/>
                <w:lang w:eastAsia="ru-RU"/>
              </w:rPr>
            </w:pPr>
            <w:r>
              <w:rPr>
                <w:rFonts w:eastAsia="" w:cs="Times New Roman" w:ascii="Times New Roman" w:hAnsi="Times New Roman"/>
                <w:sz w:val="24"/>
                <w:szCs w:val="24"/>
                <w:lang w:eastAsia="ru-RU"/>
              </w:rPr>
              <w:t>1.8.2</w:t>
            </w:r>
          </w:p>
        </w:tc>
        <w:tc>
          <w:tcPr>
            <w:tcW w:w="14627" w:type="dxa"/>
            <w:gridSpan w:val="8"/>
            <w:tcBorders>
              <w:left w:val="single" w:sz="4" w:space="0" w:color="000000"/>
              <w:bottom w:val="single" w:sz="4" w:space="0" w:color="000000"/>
              <w:right w:val="single" w:sz="4" w:space="0" w:color="000000"/>
            </w:tcBorders>
          </w:tcPr>
          <w:p>
            <w:pPr>
              <w:pStyle w:val="ListParagraph"/>
              <w:numPr>
                <w:ilvl w:val="0"/>
                <w:numId w:val="0"/>
              </w:numPr>
              <w:spacing w:before="0" w:after="200"/>
              <w:ind w:hanging="0" w:left="0" w:right="0"/>
              <w:contextualSpacing/>
              <w:jc w:val="left"/>
              <w:rPr>
                <w:rFonts w:ascii="Times New Roman" w:hAnsi="Times New Roman" w:cs="Times New Roman"/>
                <w:color w:val="000000"/>
                <w:sz w:val="22"/>
                <w:szCs w:val="22"/>
              </w:rPr>
            </w:pPr>
            <w:r>
              <w:rPr>
                <w:rFonts w:cs="Times New Roman" w:ascii="Times New Roman" w:hAnsi="Times New Roman"/>
                <w:color w:val="000000"/>
                <w:sz w:val="22"/>
                <w:szCs w:val="22"/>
              </w:rPr>
              <w:t>Расширение области применения цифровых коммуникационных технологий в сферах деятельности органов местного самоуправления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Обеспечение функционирования и развития автоматизированного дело</w:t>
              <w:softHyphen/>
              <w:t>производства и электронного документооборота в администрации ок</w:t>
              <w:softHyphen/>
              <w:t>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rPr/>
            </w:pPr>
            <w:r>
              <w:rPr>
                <w:rFonts w:cs="Times New Roman" w:ascii="Times New Roman" w:hAnsi="Times New Roman"/>
                <w:sz w:val="22"/>
                <w:szCs w:val="22"/>
              </w:rPr>
              <w:t>О</w:t>
            </w:r>
            <w:r>
              <w:rPr>
                <w:rFonts w:eastAsia="" w:cs="Times New Roman" w:ascii="Times New Roman" w:hAnsi="Times New Roman"/>
                <w:sz w:val="22"/>
                <w:szCs w:val="22"/>
                <w:lang w:eastAsia="ru-RU"/>
              </w:rPr>
              <w:t>тдел по организационным и общим вопросам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 администрации ТМО СК обеспечено функционирование и развитие автоматизированного дело</w:t>
              <w:softHyphen/>
              <w:t>производства и электронного доку</w:t>
              <w:softHyphen/>
              <w:t>ментооборота СЭД «Дело».</w:t>
            </w:r>
          </w:p>
        </w:tc>
      </w:tr>
      <w:tr>
        <w:trPr>
          <w:trHeight w:val="56" w:hRule="atLeast"/>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1.8.3.</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Информирование населения о деятельности органов местного самоуправления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Опубликование информации о дея</w:t>
              <w:softHyphen/>
              <w:t>тельности органов местного самоуправления округа в средствах мас</w:t>
              <w:softHyphen/>
              <w:t>совой информации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rPr>
              <w:t>О</w:t>
            </w:r>
            <w:r>
              <w:rPr>
                <w:rFonts w:eastAsia="" w:cs="Times New Roman" w:ascii="Times New Roman" w:hAnsi="Times New Roman"/>
                <w:sz w:val="22"/>
                <w:szCs w:val="22"/>
                <w:lang w:eastAsia="ru-RU"/>
              </w:rPr>
              <w:t>тдел по организационным и общим вопросам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 районной газете «Рассвет» размещаются информационные сообщения о деятельности органов местного самоуправления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Размещение информации о деятельности органов местного самоуправления округа в информационно-те</w:t>
              <w:softHyphen/>
              <w:t>лекоммуникационной сети «Интернет»</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rPr>
              <w:t>О</w:t>
            </w:r>
            <w:r>
              <w:rPr>
                <w:rFonts w:eastAsia="" w:cs="Times New Roman" w:ascii="Times New Roman" w:hAnsi="Times New Roman"/>
                <w:sz w:val="22"/>
                <w:szCs w:val="22"/>
                <w:lang w:eastAsia="ru-RU"/>
              </w:rPr>
              <w:t>тдел по организационным и общим вопросам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На официальном сайте администрации ТМО СК и в социальных сетях постоянно публикуются информационные сообщения о деятельности органов местного самоуправления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1.8.4.</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t>Обеспечение предоставления государственных и муниципальных услуг, в том числе в МФЦ и в электронной форме</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Разработка административных регламентов (внесение изменений в ад</w:t>
              <w:softHyphen/>
              <w:t>министративные регламенты) предоставления органами местного са</w:t>
              <w:softHyphen/>
              <w:t>моуправления округа муниципальных услуг и государственных услуг при осуществлении переданных от</w:t>
              <w:softHyphen/>
              <w:t>дельных государственных полномочий Российской Федерации и Став</w:t>
              <w:softHyphen/>
              <w:t>ропольского края, предусматривающих оптимизацию (повышения качества) услуг</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 w:cs="Times New Roman"/>
                <w:sz w:val="22"/>
                <w:szCs w:val="22"/>
                <w:lang w:eastAsia="ar-SA"/>
              </w:rPr>
            </w:pPr>
            <w:r>
              <w:rPr>
                <w:rFonts w:eastAsia="" w:cs="Times New Roman" w:ascii="Times New Roman" w:hAnsi="Times New Roman"/>
                <w:sz w:val="22"/>
                <w:szCs w:val="22"/>
                <w:lang w:eastAsia="ar-SA"/>
              </w:rPr>
              <w:t>Руководители отраслевых (функциональных) органов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pPr>
            <w:r>
              <w:rPr>
                <w:rFonts w:cs="Times New Roman" w:ascii="Times New Roman" w:hAnsi="Times New Roman"/>
                <w:sz w:val="22"/>
                <w:szCs w:val="22"/>
              </w:rPr>
              <w:t>В связи с утверждением протокола заседания рабочей группы по снижению административных барьеров и повышению доступности и качества предоставления государственных и муниципальных услуг в Ставропольском крае от 18.11.2024 года № 2 внесены изменения в постановление АТМО СК от 09.02.2021 года № 144 «Об утверждении Перечня государственных и муниципальных услуг, предоставляемых администрацией Туркменского муниципального округа, отраслевыми (функциональными) органами администрации Туркменского муниципального округа, муниципальными учреждениями Туркменского муниципального округа». Из 23 разработаны и утверждены 9 административных регламентов.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Поддержание в актуальном состоянии предоставление муниципальных услуг по принципу «одного окна» в МФЦ</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МКУ «Многофункциональ</w:t>
              <w:softHyphen/>
              <w:t>ный центр предоставления государственных и муниципальных услуг» 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Предоставление муниципальных услуг по принципу «одного окна» в МФЦ находится в актуальном состоянии.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Проведение мониторинга уровня удовлетворенности населения качеством и доступностью государствен</w:t>
              <w:softHyphen/>
              <w:t>ных и муниципальных услуг, предоставляемых органами местного самоуправления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МКУ «Многофункциональ</w:t>
              <w:softHyphen/>
              <w:t>ный центр предоставления государственных и муниципальных услуг» 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shd w:fill="FFFFFF" w:val="clear"/>
              </w:rPr>
              <w:t>В 2025 году уровень удовлетворенности населения качеством и доступностью государствен</w:t>
              <w:softHyphen/>
              <w:t>ных и муниципальных услуг, пре</w:t>
              <w:softHyphen/>
              <w:t>доставляемых органами местного самоуправления округа составил 100 %.</w:t>
            </w:r>
          </w:p>
        </w:tc>
      </w:tr>
      <w:tr>
        <w:trPr/>
        <w:tc>
          <w:tcPr>
            <w:tcW w:w="15353" w:type="dxa"/>
            <w:gridSpan w:val="9"/>
            <w:tcBorders>
              <w:left w:val="single" w:sz="4" w:space="0" w:color="000000"/>
              <w:bottom w:val="single" w:sz="4" w:space="0" w:color="000000"/>
              <w:right w:val="single" w:sz="4" w:space="0" w:color="000000"/>
            </w:tcBorders>
          </w:tcPr>
          <w:p>
            <w:pPr>
              <w:pStyle w:val="Normal"/>
              <w:spacing w:lineRule="auto" w:line="240" w:before="0" w:after="0"/>
              <w:jc w:val="left"/>
              <w:rPr>
                <w:rFonts w:ascii="Times New Roman" w:hAnsi="Times New Roman" w:eastAsia="" w:cs="Times New Roman"/>
                <w:sz w:val="22"/>
                <w:szCs w:val="22"/>
                <w:lang w:eastAsia="ru-RU"/>
              </w:rPr>
            </w:pPr>
            <w:r>
              <w:rPr>
                <w:rFonts w:eastAsia="" w:cs="Times New Roman" w:ascii="Times New Roman" w:hAnsi="Times New Roman"/>
                <w:b/>
                <w:bCs/>
                <w:sz w:val="22"/>
                <w:szCs w:val="22"/>
                <w:lang w:eastAsia="ru-RU"/>
              </w:rPr>
              <w:t>1.9. Реализация национальной политики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1.9.1.</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Обеспечение в округе равноправия граждан, реализация их конституционных прав в сфере государственной национальной политики Российской Федерации</w:t>
            </w:r>
          </w:p>
        </w:tc>
        <w:tc>
          <w:tcPr>
            <w:tcW w:w="1840" w:type="dxa"/>
            <w:tcBorders>
              <w:left w:val="single" w:sz="4" w:space="0" w:color="000000"/>
              <w:bottom w:val="single" w:sz="4" w:space="0" w:color="000000"/>
              <w:right w:val="single" w:sz="4" w:space="0" w:color="000000"/>
            </w:tcBorders>
          </w:tcPr>
          <w:p>
            <w:pPr>
              <w:pStyle w:val="Style16"/>
              <w:jc w:val="both"/>
              <w:rPr>
                <w:rFonts w:ascii="Times New Roman" w:hAnsi="Times New Roman" w:eastAsia="" w:cs="Times New Roman"/>
                <w:sz w:val="22"/>
                <w:szCs w:val="22"/>
                <w:lang w:val="ru-RU" w:eastAsia="ru-RU"/>
              </w:rPr>
            </w:pPr>
            <w:r>
              <w:rPr>
                <w:rFonts w:eastAsia="" w:cs="Times New Roman" w:ascii="Times New Roman" w:hAnsi="Times New Roman"/>
                <w:sz w:val="22"/>
                <w:szCs w:val="22"/>
                <w:lang w:val="ru-RU" w:eastAsia="ru-RU"/>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социального развития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pPr>
            <w:r>
              <w:rPr>
                <w:rFonts w:cs="Times New Roman" w:ascii="Times New Roman" w:hAnsi="Times New Roman"/>
                <w:sz w:val="22"/>
                <w:szCs w:val="22"/>
                <w:shd w:fill="FFFFFF" w:val="clear"/>
              </w:rPr>
              <w:t xml:space="preserve">Регулярно проводится мониторинг обращений граждан на наличие фактов нарушений </w:t>
            </w:r>
            <w:r>
              <w:rPr>
                <w:rFonts w:eastAsia="" w:cs="Times New Roman" w:ascii="Times New Roman" w:hAnsi="Times New Roman"/>
                <w:color w:val="000000"/>
                <w:sz w:val="22"/>
                <w:szCs w:val="22"/>
                <w:shd w:fill="FFFFFF" w:val="clear"/>
                <w:lang w:eastAsia="ru-RU"/>
              </w:rPr>
              <w:t>равноправия граждан, реализация их конституци</w:t>
              <w:softHyphen/>
              <w:t>онных прав в сфере государственной национальной политики Российской Федерации.</w:t>
            </w:r>
          </w:p>
          <w:p>
            <w:pPr>
              <w:pStyle w:val="Normal"/>
              <w:snapToGrid w:val="false"/>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За отчетный период данных фактов не выявлено.</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1.9.2</w:t>
            </w:r>
          </w:p>
        </w:tc>
        <w:tc>
          <w:tcPr>
            <w:tcW w:w="14627" w:type="dxa"/>
            <w:gridSpan w:val="8"/>
            <w:tcBorders>
              <w:left w:val="single" w:sz="4" w:space="0" w:color="000000"/>
              <w:bottom w:val="single" w:sz="4" w:space="0" w:color="000000"/>
              <w:right w:val="single" w:sz="4" w:space="0" w:color="000000"/>
            </w:tcBorders>
          </w:tcPr>
          <w:p>
            <w:pPr>
              <w:pStyle w:val="ListParagraph"/>
              <w:numPr>
                <w:ilvl w:val="0"/>
                <w:numId w:val="0"/>
              </w:numPr>
              <w:spacing w:before="0" w:after="200"/>
              <w:ind w:hanging="0" w:left="0" w:right="0"/>
              <w:contextualSpacing/>
              <w:jc w:val="left"/>
              <w:rPr>
                <w:rFonts w:ascii="Times New Roman" w:hAnsi="Times New Roman" w:cs="Times New Roman"/>
                <w:color w:val="000000"/>
                <w:sz w:val="22"/>
                <w:szCs w:val="22"/>
              </w:rPr>
            </w:pPr>
            <w:r>
              <w:rPr>
                <w:rFonts w:cs="Times New Roman" w:ascii="Times New Roman" w:hAnsi="Times New Roman"/>
                <w:color w:val="000000"/>
                <w:sz w:val="22"/>
                <w:szCs w:val="22"/>
              </w:rPr>
              <w:t>Укрепление в округе единства и духовной общности многонационального народа Российской Федерации</w:t>
            </w:r>
          </w:p>
        </w:tc>
      </w:tr>
      <w:tr>
        <w:trPr/>
        <w:tc>
          <w:tcPr>
            <w:tcW w:w="726"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2863" w:type="dxa"/>
            <w:tcBorders>
              <w:left w:val="single" w:sz="4" w:space="0" w:color="000000"/>
              <w:bottom w:val="single" w:sz="4" w:space="0" w:color="000000"/>
              <w:right w:val="single" w:sz="4" w:space="0" w:color="000000"/>
            </w:tcBorders>
          </w:tcPr>
          <w:p>
            <w:pPr>
              <w:pStyle w:val="Normal"/>
              <w:shd w:val="clear" w:fill="FFFFFF"/>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Проведение торжественных меро</w:t>
              <w:softHyphen/>
              <w:t>приятий, приуроченных к праздничным и памятным датам в истории народов России, в том числе: Международному дню родного языка; Дню славянской письменности и культуры; Дню России; Международному дню коренных народов мира; Дню народного единства</w:t>
            </w:r>
          </w:p>
        </w:tc>
        <w:tc>
          <w:tcPr>
            <w:tcW w:w="1840" w:type="dxa"/>
            <w:tcBorders>
              <w:left w:val="single" w:sz="4" w:space="0" w:color="000000"/>
              <w:bottom w:val="single" w:sz="4" w:space="0" w:color="000000"/>
              <w:right w:val="single" w:sz="4" w:space="0" w:color="000000"/>
            </w:tcBorders>
          </w:tcPr>
          <w:p>
            <w:pPr>
              <w:pStyle w:val="Normal"/>
              <w:spacing w:lineRule="atLeast" w:line="65"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Муниципальная про</w:t>
              <w:softHyphen/>
              <w:t>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социального развития  АТМО СК, управление культуры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hd w:val="clear" w:fill="FFFFFF"/>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За отчетный период проведено свыше 180 мероприятий, приуроченных к праздничным и памятным датам в истории народов России, в том числе: Международному дню родного языка; Дню славянской письменности и культуры; Дню России; Международному дню коренных народов мира; Дню народного единства.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pacing w:val="-1"/>
                <w:sz w:val="22"/>
                <w:szCs w:val="22"/>
              </w:rPr>
              <w:t>Повышение уровня информирован</w:t>
              <w:softHyphen/>
              <w:t>ности населения об этническом разнообразии, истории и культуре наро</w:t>
              <w:softHyphen/>
              <w:t xml:space="preserve">дов, проживающих в </w:t>
            </w:r>
            <w:r>
              <w:rPr>
                <w:rFonts w:cs="Times New Roman" w:ascii="Times New Roman" w:hAnsi="Times New Roman"/>
                <w:sz w:val="22"/>
                <w:szCs w:val="22"/>
              </w:rPr>
              <w:t>округ</w:t>
            </w:r>
            <w:r>
              <w:rPr>
                <w:rFonts w:cs="Times New Roman" w:ascii="Times New Roman" w:hAnsi="Times New Roman"/>
                <w:spacing w:val="-1"/>
                <w:sz w:val="22"/>
                <w:szCs w:val="22"/>
              </w:rPr>
              <w:t>е</w:t>
            </w:r>
          </w:p>
        </w:tc>
        <w:tc>
          <w:tcPr>
            <w:tcW w:w="1840" w:type="dxa"/>
            <w:tcBorders>
              <w:left w:val="single" w:sz="4" w:space="0" w:color="000000"/>
              <w:bottom w:val="single" w:sz="4" w:space="0" w:color="000000"/>
              <w:right w:val="single" w:sz="4" w:space="0" w:color="000000"/>
            </w:tcBorders>
          </w:tcPr>
          <w:p>
            <w:pPr>
              <w:pStyle w:val="Normal"/>
              <w:spacing w:lineRule="atLeast" w:line="65"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социального развития  АТМО СК, специалист по ра</w:t>
              <w:softHyphen/>
              <w:t>боте со СМИ</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Spacing"/>
              <w:ind w:right="0"/>
              <w:jc w:val="both"/>
              <w:rPr/>
            </w:pPr>
            <w:r>
              <w:rPr>
                <w:rFonts w:cs="Times New Roman" w:ascii="Times New Roman" w:hAnsi="Times New Roman"/>
                <w:sz w:val="22"/>
                <w:szCs w:val="22"/>
              </w:rPr>
              <w:t xml:space="preserve">В официальных аккаунтах районной газеты «Рассвет» и администрации Туркменского муниципального округа ежеквартально публикуется более 30 материалов </w:t>
            </w:r>
            <w:r>
              <w:rPr>
                <w:rFonts w:cs="Times New Roman" w:ascii="Times New Roman" w:hAnsi="Times New Roman"/>
                <w:spacing w:val="-1"/>
                <w:sz w:val="22"/>
                <w:szCs w:val="22"/>
              </w:rPr>
              <w:t xml:space="preserve">об этническом разнообразии, истории и культуре народов, проживающих в </w:t>
            </w:r>
            <w:r>
              <w:rPr>
                <w:rFonts w:cs="Times New Roman" w:ascii="Times New Roman" w:hAnsi="Times New Roman"/>
                <w:sz w:val="22"/>
                <w:szCs w:val="22"/>
              </w:rPr>
              <w:t>округ</w:t>
            </w:r>
            <w:r>
              <w:rPr>
                <w:rFonts w:cs="Times New Roman" w:ascii="Times New Roman" w:hAnsi="Times New Roman"/>
                <w:spacing w:val="-1"/>
                <w:sz w:val="22"/>
                <w:szCs w:val="22"/>
              </w:rPr>
              <w:t>е.</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hd w:val="clear" w:fill="FFFFFF"/>
              <w:spacing w:lineRule="auto" w:line="240" w:before="0" w:after="0"/>
              <w:jc w:val="both"/>
              <w:rPr/>
            </w:pPr>
            <w:r>
              <w:rPr>
                <w:rFonts w:cs="Times New Roman" w:ascii="Times New Roman" w:hAnsi="Times New Roman"/>
                <w:color w:val="000000"/>
                <w:spacing w:val="-1"/>
                <w:sz w:val="22"/>
                <w:szCs w:val="22"/>
              </w:rPr>
              <w:t>Взаимодействие с представителями</w:t>
            </w:r>
            <w:r>
              <w:rPr>
                <w:rFonts w:cs="Times New Roman" w:ascii="Times New Roman" w:hAnsi="Times New Roman"/>
                <w:color w:val="000000"/>
                <w:sz w:val="22"/>
                <w:szCs w:val="22"/>
              </w:rPr>
              <w:t xml:space="preserve"> общественных организаций,</w:t>
            </w:r>
            <w:r>
              <w:rPr>
                <w:rFonts w:cs="Times New Roman" w:ascii="Times New Roman" w:hAnsi="Times New Roman"/>
                <w:color w:val="000000"/>
                <w:spacing w:val="-1"/>
                <w:sz w:val="22"/>
                <w:szCs w:val="22"/>
              </w:rPr>
              <w:t xml:space="preserve"> диаспор, национально-культурными </w:t>
            </w:r>
            <w:r>
              <w:rPr>
                <w:rFonts w:cs="Times New Roman" w:ascii="Times New Roman" w:hAnsi="Times New Roman"/>
                <w:color w:val="000000"/>
                <w:sz w:val="22"/>
                <w:szCs w:val="22"/>
              </w:rPr>
              <w:t>объединениями в целях формирования эффективного диалога «общество – власть» и противодействия сепаратизму, экстремизму, ксенофобии и политизации межнациональных от</w:t>
              <w:softHyphen/>
              <w:t>ношений</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социального развития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tabs>
                <w:tab w:val="clear" w:pos="708"/>
                <w:tab w:val="left" w:pos="3450" w:leader="none"/>
              </w:tabs>
              <w:spacing w:lineRule="auto" w:line="240" w:before="0" w:after="0"/>
              <w:jc w:val="both"/>
              <w:rPr/>
            </w:pPr>
            <w:r>
              <w:rPr>
                <w:rFonts w:eastAsia="Times New Roman" w:cs="Times New Roman" w:ascii="Times New Roman" w:hAnsi="Times New Roman"/>
                <w:sz w:val="22"/>
                <w:szCs w:val="22"/>
              </w:rPr>
              <w:t>На заседаниях Совета   администрации Туркменского муниципального округа по вопросам координации этнических и этноконфессиональных отношений (за 2025 год проведено 4 заседания) регулярно проводятся встречи с представителями общественных организаций на которых рассмотрено 10 вопросов в сфере</w:t>
            </w:r>
            <w:r>
              <w:rPr>
                <w:rFonts w:eastAsia="Times New Roman" w:cs="Times New Roman" w:ascii="Times New Roman" w:hAnsi="Times New Roman"/>
                <w:color w:val="000000"/>
                <w:sz w:val="22"/>
                <w:szCs w:val="22"/>
              </w:rPr>
              <w:t xml:space="preserve"> противодействия сепара</w:t>
              <w:softHyphen/>
              <w:t>тизму, экстремизму, ксенофобии и политизации межнациональных от</w:t>
              <w:softHyphen/>
              <w:t>ношений.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1.9.3.</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Обеспечение межнационального мира и согласия, гармонизации межнациональных (межэтнических) отношений в округе.</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hd w:val="clear" w:fill="FFFFFF"/>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Оперативное взаимодействие с пра</w:t>
              <w:softHyphen/>
              <w:t>воохранительными органами и территориальными управлениями адми</w:t>
              <w:softHyphen/>
              <w:t>нистрации ТМО СК по вопросам профилактики этнических конфликтов</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социального развития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119" w:after="0"/>
              <w:ind w:right="0"/>
              <w:jc w:val="both"/>
              <w:rPr/>
            </w:pPr>
            <w:r>
              <w:rPr>
                <w:rFonts w:eastAsia="Times New Roman" w:cs="Times New Roman" w:ascii="Times New Roman" w:hAnsi="Times New Roman"/>
                <w:sz w:val="22"/>
                <w:szCs w:val="22"/>
              </w:rPr>
              <w:t>Распоряжением</w:t>
            </w:r>
            <w:r>
              <w:rPr>
                <w:rFonts w:cs="Times New Roman" w:ascii="Times New Roman" w:hAnsi="Times New Roman"/>
                <w:sz w:val="22"/>
                <w:szCs w:val="22"/>
              </w:rPr>
              <w:t xml:space="preserve"> администрации Туркменского муниципального округа от 21.11.2024 года </w:t>
            </w:r>
            <w:r>
              <w:rPr>
                <w:rFonts w:cs="Times New Roman" w:ascii="Times New Roman" w:hAnsi="Times New Roman"/>
                <w:bCs/>
                <w:sz w:val="22"/>
                <w:szCs w:val="22"/>
              </w:rPr>
              <w:t xml:space="preserve">№ 182-р утвержден алгоритм </w:t>
            </w:r>
            <w:r>
              <w:rPr>
                <w:rFonts w:cs="Times New Roman" w:ascii="Times New Roman" w:hAnsi="Times New Roman"/>
                <w:sz w:val="22"/>
                <w:szCs w:val="22"/>
              </w:rPr>
              <w:t>действий работников администрации Туркменского муниципального округа Ставропольского края в федеральной системе мониторинга состояния межнациональных отношений и раннего предупреждения религиозного экстремизма.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color w:val="000000"/>
                <w:spacing w:val="-1"/>
                <w:sz w:val="22"/>
                <w:szCs w:val="22"/>
              </w:rPr>
              <w:t>Поддержка и распространение идей духовного единства и межэтническо</w:t>
            </w:r>
            <w:r>
              <w:rPr>
                <w:rFonts w:cs="Times New Roman" w:ascii="Times New Roman" w:hAnsi="Times New Roman"/>
                <w:color w:val="000000"/>
                <w:sz w:val="22"/>
                <w:szCs w:val="22"/>
              </w:rPr>
              <w:t>го согласия</w:t>
            </w:r>
          </w:p>
        </w:tc>
        <w:tc>
          <w:tcPr>
            <w:tcW w:w="1840" w:type="dxa"/>
            <w:tcBorders>
              <w:left w:val="single" w:sz="4" w:space="0" w:color="000000"/>
              <w:bottom w:val="single" w:sz="4" w:space="0" w:color="000000"/>
              <w:right w:val="single" w:sz="4" w:space="0" w:color="000000"/>
            </w:tcBorders>
          </w:tcPr>
          <w:p>
            <w:pPr>
              <w:pStyle w:val="Normal"/>
              <w:spacing w:lineRule="atLeast" w:line="65"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социального развития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color w:val="000000"/>
                <w:spacing w:val="-1"/>
                <w:sz w:val="22"/>
                <w:szCs w:val="22"/>
              </w:rPr>
              <w:t>Распространение идей духовного единства и межэтническо</w:t>
            </w:r>
            <w:r>
              <w:rPr>
                <w:rFonts w:cs="Times New Roman" w:ascii="Times New Roman" w:hAnsi="Times New Roman"/>
                <w:color w:val="000000"/>
                <w:sz w:val="22"/>
                <w:szCs w:val="22"/>
              </w:rPr>
              <w:t>го согласия происходит посредством работы с населением, в</w:t>
            </w:r>
            <w:r>
              <w:rPr>
                <w:rFonts w:eastAsia="Times New Roman" w:cs="Times New Roman" w:ascii="Times New Roman" w:hAnsi="Times New Roman"/>
                <w:color w:val="000000"/>
                <w:sz w:val="22"/>
                <w:szCs w:val="22"/>
              </w:rPr>
              <w:t xml:space="preserve"> рамках работы советов «Мира и дружбы» </w:t>
            </w:r>
            <w:r>
              <w:rPr>
                <w:rFonts w:eastAsia="Lucida Sans Unicode" w:cs="Times New Roman" w:ascii="Times New Roman" w:hAnsi="Times New Roman"/>
                <w:color w:val="000000"/>
                <w:sz w:val="22"/>
                <w:szCs w:val="22"/>
                <w:lang w:eastAsia="ar-SA"/>
              </w:rPr>
              <w:t xml:space="preserve"> </w:t>
            </w:r>
            <w:r>
              <w:rPr>
                <w:rFonts w:eastAsia="Times New Roman" w:cs="Times New Roman" w:ascii="Times New Roman" w:hAnsi="Times New Roman"/>
                <w:color w:val="000000"/>
                <w:sz w:val="22"/>
                <w:szCs w:val="22"/>
              </w:rPr>
              <w:t>в территориальных управлениях ТМО СК, за 2025 год проведено  свыше 40 встреч.</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Normal"/>
              <w:shd w:val="clear" w:fill="FFFFFF"/>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Активизация сотрудничества с государственным унитарным предприятием Ставропольского края «Издательский дом «Периодика Ставрополья» - Редакция газеты «Рассвет» по вопросам освещения этнической проблематики.</w:t>
            </w:r>
          </w:p>
        </w:tc>
        <w:tc>
          <w:tcPr>
            <w:tcW w:w="1840" w:type="dxa"/>
            <w:tcBorders>
              <w:left w:val="single" w:sz="4" w:space="0" w:color="000000"/>
              <w:bottom w:val="single" w:sz="4" w:space="0" w:color="000000"/>
              <w:right w:val="single" w:sz="4" w:space="0" w:color="000000"/>
            </w:tcBorders>
          </w:tcPr>
          <w:p>
            <w:pPr>
              <w:pStyle w:val="Normal"/>
              <w:spacing w:lineRule="atLeast" w:line="65"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социального развития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hd w:val="clear" w:fill="FFFFFF"/>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Администрация Туркменского муниципального округа активно  сотрудничает с государственным унитарным предприятием Ставропольского края «Издательский дом «Периодика Ставрополья» - Редакция газеты «Рассвет» по вопросам освещения этнической проблематики, за 2025 год опубликовано свыше 50 публикаций.</w:t>
            </w:r>
          </w:p>
        </w:tc>
      </w:tr>
      <w:tr>
        <w:trPr/>
        <w:tc>
          <w:tcPr>
            <w:tcW w:w="15353" w:type="dxa"/>
            <w:gridSpan w:val="9"/>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22"/>
                <w:szCs w:val="22"/>
              </w:rPr>
            </w:pPr>
            <w:r>
              <w:rPr>
                <w:rFonts w:cs="Times New Roman" w:ascii="Times New Roman" w:hAnsi="Times New Roman"/>
                <w:b/>
                <w:bCs/>
                <w:sz w:val="22"/>
                <w:szCs w:val="22"/>
              </w:rPr>
              <w:t>Задача 2. Развитие конкурентной и инновационной экономики, рост инвестиционной привлекательности и предпринимательской активности</w:t>
            </w:r>
          </w:p>
        </w:tc>
      </w:tr>
      <w:tr>
        <w:trPr/>
        <w:tc>
          <w:tcPr>
            <w:tcW w:w="7192" w:type="dxa"/>
            <w:gridSpan w:val="5"/>
            <w:vMerge w:val="restart"/>
            <w:tcBorders>
              <w:left w:val="single" w:sz="4" w:space="0" w:color="000000"/>
              <w:bottom w:val="single" w:sz="4" w:space="0" w:color="000000"/>
              <w:right w:val="single" w:sz="4" w:space="0" w:color="000000"/>
            </w:tcBorders>
          </w:tcPr>
          <w:p>
            <w:pPr>
              <w:pStyle w:val="Normal"/>
              <w:spacing w:lineRule="auto" w:line="240" w:before="0" w:after="0"/>
              <w:jc w:val="left"/>
              <w:rPr>
                <w:rFonts w:ascii="Times New Roman" w:hAnsi="Times New Roman" w:cs="Times New Roman"/>
                <w:b/>
                <w:bCs/>
              </w:rPr>
            </w:pPr>
            <w:r>
              <w:rPr>
                <w:rFonts w:eastAsia="" w:cs="Times New Roman" w:ascii="Times New Roman" w:hAnsi="Times New Roman"/>
                <w:b/>
                <w:bCs/>
                <w:sz w:val="22"/>
                <w:szCs w:val="22"/>
                <w:lang w:eastAsia="ru-RU"/>
              </w:rPr>
              <w:t>2.1. Развитие агропромышленного комплекса</w:t>
            </w:r>
          </w:p>
        </w:tc>
        <w:tc>
          <w:tcPr>
            <w:tcW w:w="234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Количество средних и крупных предприятий базовых несырьевых отраслей экономики, вовлеченных в реализацию национального про</w:t>
              <w:softHyphen/>
              <w:t>екта» «Производи</w:t>
              <w:softHyphen/>
              <w:t>тельность труда и поддержка занятости»</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единиц</w:t>
            </w:r>
          </w:p>
        </w:tc>
        <w:tc>
          <w:tcPr>
            <w:tcW w:w="1292" w:type="dxa"/>
            <w:tcBorders>
              <w:left w:val="single" w:sz="4" w:space="0" w:color="000000"/>
              <w:bottom w:val="single" w:sz="4" w:space="0" w:color="000000"/>
            </w:tcBorders>
          </w:tcPr>
          <w:p>
            <w:pPr>
              <w:pStyle w:val="Normal"/>
              <w:spacing w:lineRule="auto" w:line="240" w:before="0" w:after="0"/>
              <w:jc w:val="center"/>
              <w:rPr>
                <w:highlight w:val="none"/>
                <w:shd w:fill="auto" w:val="clear"/>
              </w:rPr>
            </w:pPr>
            <w:r>
              <w:rPr>
                <w:rFonts w:eastAsia="" w:cs="Times New Roman" w:ascii="Times New Roman" w:hAnsi="Times New Roman"/>
                <w:sz w:val="22"/>
                <w:szCs w:val="22"/>
                <w:shd w:fill="auto" w:val="clear"/>
                <w:lang w:eastAsia="ru-RU"/>
              </w:rPr>
              <w:t>x</w:t>
            </w:r>
          </w:p>
        </w:tc>
        <w:tc>
          <w:tcPr>
            <w:tcW w:w="3569" w:type="dxa"/>
            <w:tcBorders>
              <w:left w:val="single" w:sz="4" w:space="0" w:color="000000"/>
              <w:bottom w:val="single" w:sz="4" w:space="0" w:color="000000"/>
              <w:right w:val="single" w:sz="4" w:space="0" w:color="000000"/>
            </w:tcBorders>
          </w:tcPr>
          <w:p>
            <w:pPr>
              <w:pStyle w:val="NormalWeb"/>
              <w:spacing w:lineRule="atLeast" w:line="200" w:beforeAutospacing="0" w:before="0" w:afterAutospacing="0" w:after="0"/>
              <w:ind w:hanging="0"/>
              <w:jc w:val="both"/>
              <w:rPr>
                <w:highlight w:val="none"/>
                <w:shd w:fill="auto" w:val="clear"/>
              </w:rPr>
            </w:pPr>
            <w:r>
              <w:rPr>
                <w:rFonts w:cs="Times New Roman"/>
                <w:color w:val="000000"/>
                <w:sz w:val="22"/>
                <w:szCs w:val="22"/>
                <w:shd w:fill="auto" w:val="clear"/>
                <w:lang w:eastAsia="ru-RU"/>
              </w:rPr>
              <w:t>По итогам 2025 года в округе отсутствуют юридические лица, соответствующие критериям отбора для участия в национальном проекте «Производительность труда и поддержка занятости».</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b/>
                <w:lang w:eastAsia="ru-RU"/>
              </w:rPr>
            </w:pPr>
            <w:r>
              <w:rPr>
                <w:rFonts w:eastAsia="" w:cs="Times New Roman" w:ascii="Times New Roman" w:hAnsi="Times New Roman"/>
                <w:b/>
                <w:lang w:eastAsia="ru-RU"/>
              </w:rPr>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Количество высоко</w:t>
              <w:softHyphen/>
              <w:t>производительных рабочих мест во вне</w:t>
              <w:softHyphen/>
              <w:t>бюджетном секторе экономики</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человек</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shd w:fill="auto" w:val="clear"/>
                <w:lang w:eastAsia="ru-RU"/>
              </w:rPr>
            </w:pPr>
            <w:r>
              <w:rPr>
                <w:rFonts w:eastAsia="" w:cs="Times New Roman" w:ascii="Times New Roman" w:hAnsi="Times New Roman"/>
                <w:color w:val="000000"/>
                <w:sz w:val="22"/>
                <w:szCs w:val="22"/>
                <w:shd w:fill="auto" w:val="clear"/>
                <w:lang w:eastAsia="ru-RU"/>
              </w:rPr>
              <w:t>Количество высоко</w:t>
              <w:softHyphen/>
              <w:t>производительных рабочих мест во внебюджетном секторе экономики в 2025 году составило 1917 человек.</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b/>
                <w:lang w:eastAsia="ru-RU"/>
              </w:rPr>
            </w:pPr>
            <w:r>
              <w:rPr>
                <w:rFonts w:eastAsia="" w:cs="Times New Roman" w:ascii="Times New Roman" w:hAnsi="Times New Roman"/>
                <w:b/>
                <w:lang w:eastAsia="ru-RU"/>
              </w:rPr>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Произведено продук</w:t>
              <w:softHyphen/>
              <w:t>ции сельского хозяй</w:t>
              <w:softHyphen/>
              <w:t>ства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млрд. рублей</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Оценочно произведено продук</w:t>
              <w:softHyphen/>
              <w:t>ции сельского хозяй</w:t>
              <w:softHyphen/>
              <w:t>ства на сумму 8,625 млрд. рублей.</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b/>
                <w:shd w:fill="FFFF00" w:val="clear"/>
                <w:lang w:eastAsia="ru-RU"/>
              </w:rPr>
            </w:pPr>
            <w:r>
              <w:rPr>
                <w:rFonts w:eastAsia="" w:cs="Times New Roman" w:ascii="Times New Roman" w:hAnsi="Times New Roman"/>
                <w:b/>
                <w:shd w:fill="FFFF00" w:val="clear"/>
                <w:lang w:eastAsia="ru-RU"/>
              </w:rPr>
            </w:r>
          </w:p>
        </w:tc>
        <w:tc>
          <w:tcPr>
            <w:tcW w:w="234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2"/>
                <w:szCs w:val="22"/>
                <w:shd w:fill="FFFFFF" w:val="clear"/>
              </w:rPr>
            </w:pPr>
            <w:r>
              <w:rPr>
                <w:rFonts w:cs="Times New Roman" w:ascii="Times New Roman" w:hAnsi="Times New Roman"/>
                <w:color w:val="000000"/>
                <w:sz w:val="22"/>
                <w:szCs w:val="22"/>
                <w:shd w:fill="FFFFFF" w:val="clear"/>
              </w:rPr>
              <w:t>Доля прибыльных сельскохозяйствен</w:t>
              <w:softHyphen/>
              <w:t>ных организаций в общем их числе</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процент</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2"/>
                <w:szCs w:val="22"/>
                <w:shd w:fill="FFFFFF" w:val="clear"/>
              </w:rPr>
            </w:pPr>
            <w:r>
              <w:rPr>
                <w:rFonts w:cs="Times New Roman" w:ascii="Times New Roman" w:hAnsi="Times New Roman"/>
                <w:color w:val="000000"/>
                <w:sz w:val="22"/>
                <w:szCs w:val="22"/>
                <w:shd w:fill="FFFFFF" w:val="clear"/>
              </w:rPr>
              <w:t>Доля прибыльных сельскохозяйствен</w:t>
              <w:softHyphen/>
              <w:t>ных организаций в общем их числе составляет 100%.</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2.1.1.</w:t>
            </w:r>
          </w:p>
        </w:tc>
        <w:tc>
          <w:tcPr>
            <w:tcW w:w="6466" w:type="dxa"/>
            <w:gridSpan w:val="4"/>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Развитие производства качественного и доступного продовольствия на территории округа</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Произведено продук</w:t>
              <w:softHyphen/>
              <w:t>ции сельского хозяй</w:t>
              <w:softHyphen/>
              <w:t>ства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млрд. рублей</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Оценочно произведено продук</w:t>
              <w:softHyphen/>
              <w:t>ции сельского хозяйства на сумму 8,625 млрд. рублей.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Закладка садов суперинтенсивного типа в личных подсобных хозяйст</w:t>
              <w:softHyphen/>
              <w:t>вах Туркменского муниципального округа в рамках государственной программы Ставропольского края «Развитие сель</w:t>
              <w:softHyphen/>
              <w:t>ского хозяйства»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ЛПХ, отдел сельского хозяйства и охраны окружающей среды АТМО СК</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Площадь закладки садов суперинтесив</w:t>
              <w:softHyphen/>
              <w:t>ного типа</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га</w:t>
            </w:r>
          </w:p>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highlight w:val="none"/>
                <w:shd w:fill="auto" w:val="clear"/>
                <w:lang w:eastAsia="ru-RU"/>
              </w:rPr>
            </w:pPr>
            <w:r>
              <w:rPr>
                <w:rFonts w:eastAsia="" w:cs="Times New Roman" w:ascii="Times New Roman" w:hAnsi="Times New Roman"/>
                <w:sz w:val="22"/>
                <w:szCs w:val="22"/>
                <w:shd w:fill="auto" w:val="clear"/>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sz w:val="22"/>
                <w:szCs w:val="28"/>
                <w:shd w:fill="FFFFFF" w:val="clear"/>
                <w:lang w:eastAsia="ru-RU"/>
              </w:rPr>
              <w:t xml:space="preserve"> </w:t>
            </w:r>
            <w:r>
              <w:rPr>
                <w:rFonts w:eastAsia="" w:cs="Times New Roman" w:ascii="Times New Roman" w:hAnsi="Times New Roman"/>
                <w:sz w:val="22"/>
                <w:szCs w:val="28"/>
                <w:shd w:fill="FFFFFF" w:val="clear"/>
                <w:lang w:eastAsia="ru-RU"/>
              </w:rPr>
              <w:t>В 2025 году приняты отчеты о подтверждении деятельности ЛПХ получивших  гранты  на закладку садов суперинтенсивного типа ( от 20 ЛПХ- получателей грантов).</w:t>
            </w:r>
          </w:p>
          <w:p>
            <w:pPr>
              <w:pStyle w:val="Normal"/>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r>
          </w:p>
          <w:p>
            <w:pPr>
              <w:pStyle w:val="Normal"/>
              <w:spacing w:lineRule="auto" w:line="240" w:before="0" w:after="0"/>
              <w:jc w:val="both"/>
              <w:rPr>
                <w:rFonts w:ascii="Times New Roman" w:hAnsi="Times New Roman" w:cs="Times New Roman"/>
                <w:color w:val="000000"/>
                <w:sz w:val="22"/>
                <w:szCs w:val="22"/>
                <w:shd w:fill="auto" w:val="clear"/>
              </w:rPr>
            </w:pPr>
            <w:r>
              <w:rPr>
                <w:rFonts w:cs="Times New Roman" w:ascii="Times New Roman" w:hAnsi="Times New Roman"/>
                <w:color w:val="000000"/>
                <w:sz w:val="22"/>
                <w:szCs w:val="22"/>
                <w:shd w:fill="auto" w:val="clear"/>
              </w:rPr>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Обеспечение участия сельскохозяй</w:t>
              <w:softHyphen/>
              <w:t>ственных товаропроизводителей Туркменского муниципального ок</w:t>
              <w:softHyphen/>
              <w:t>руга в конкурсах на предоставление субсидий</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Государственная про</w:t>
              <w:softHyphen/>
              <w:t>грамма Ставрополь</w:t>
              <w:softHyphen/>
              <w:t>ского края «Развитие сель</w:t>
              <w:softHyphen/>
              <w:t>ского хозяй</w:t>
              <w:softHyphen/>
              <w:t>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Главы крестьянских (фермер</w:t>
              <w:softHyphen/>
              <w:t>ских) хозяйств; сельскохозяй</w:t>
              <w:softHyphen/>
              <w:t>ственные предприятия округа</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Объем субсидий, по</w:t>
              <w:softHyphen/>
              <w:t>лученных сельскохозяйственными това</w:t>
              <w:softHyphen/>
              <w:t>ропроизводителями округа</w:t>
            </w:r>
          </w:p>
        </w:tc>
        <w:tc>
          <w:tcPr>
            <w:tcW w:w="951" w:type="dxa"/>
            <w:tcBorders>
              <w:left w:val="single" w:sz="4" w:space="0" w:color="000000"/>
              <w:bottom w:val="single" w:sz="4" w:space="0" w:color="000000"/>
              <w:right w:val="single" w:sz="4" w:space="0" w:color="000000"/>
            </w:tcBorders>
          </w:tcPr>
          <w:p>
            <w:pPr>
              <w:pStyle w:val="Normal"/>
              <w:widowControl/>
              <w:suppressAutoHyphens w:val="false"/>
              <w:bidi w:val="0"/>
              <w:spacing w:lineRule="auto" w:line="240" w:before="0" w:after="0"/>
              <w:ind w:left="57" w:right="57"/>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млн. руб.</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eastAsia="" w:cs="Times New Roman" w:ascii="Times New Roman" w:hAnsi="Times New Roman"/>
                <w:color w:val="000000"/>
                <w:sz w:val="22"/>
                <w:szCs w:val="22"/>
                <w:shd w:fill="auto" w:val="clear"/>
                <w:lang w:eastAsia="ru-RU"/>
              </w:rPr>
              <w:t>За 2025 год сельхозтоваропроизводителями получена государственная поддержка, в том числе:</w:t>
            </w:r>
          </w:p>
          <w:p>
            <w:pPr>
              <w:pStyle w:val="Normal"/>
              <w:spacing w:lineRule="auto" w:line="240" w:before="0" w:after="0"/>
              <w:jc w:val="both"/>
              <w:rPr>
                <w:highlight w:val="none"/>
                <w:shd w:fill="auto" w:val="clear"/>
              </w:rPr>
            </w:pPr>
            <w:r>
              <w:rPr>
                <w:rFonts w:cs="Times New Roman" w:ascii="Times New Roman" w:hAnsi="Times New Roman"/>
                <w:sz w:val="22"/>
                <w:szCs w:val="22"/>
                <w:shd w:fill="auto" w:val="clear"/>
              </w:rPr>
              <w:t>- 1 глава КФХ -  в области повышения кадровой обеспеченности предприятий АПК (агроклассы) - 2 млн. 897 тыс. рублей;</w:t>
            </w:r>
          </w:p>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lang w:eastAsia="ru-RU"/>
              </w:rPr>
              <w:t>- 6 глав КФХ и 6 СПК - в области растениеводства (по производству и реализации зерновых) - 16 млн. 555 тыс. рублей;</w:t>
            </w:r>
          </w:p>
          <w:p>
            <w:pPr>
              <w:pStyle w:val="Normal"/>
              <w:spacing w:lineRule="auto" w:line="240" w:before="0" w:after="0"/>
              <w:jc w:val="both"/>
              <w:rPr>
                <w:highlight w:val="none"/>
                <w:shd w:fill="auto" w:val="clear"/>
              </w:rPr>
            </w:pPr>
            <w:r>
              <w:rPr>
                <w:rFonts w:cs="Times New Roman" w:ascii="Times New Roman" w:hAnsi="Times New Roman"/>
                <w:sz w:val="22"/>
                <w:szCs w:val="22"/>
                <w:shd w:fill="auto" w:val="clear"/>
              </w:rPr>
              <w:t>- 3 главы КФХ и 1 СПК -  в области растениеводства (элита) - 1 млн. 873 тыс. рублей;</w:t>
            </w:r>
          </w:p>
          <w:p>
            <w:pPr>
              <w:pStyle w:val="Normal"/>
              <w:spacing w:lineRule="auto" w:line="240" w:before="0" w:after="0"/>
              <w:jc w:val="both"/>
              <w:rPr>
                <w:highlight w:val="none"/>
                <w:shd w:fill="auto" w:val="clear"/>
              </w:rPr>
            </w:pPr>
            <w:r>
              <w:rPr>
                <w:rFonts w:cs="Times New Roman" w:ascii="Times New Roman" w:hAnsi="Times New Roman"/>
                <w:sz w:val="22"/>
                <w:szCs w:val="22"/>
                <w:shd w:fill="auto" w:val="clear"/>
              </w:rPr>
              <w:t>- 5 глав КФХ и  3 СПК - на страхование зерновых - 8 млн. 601 тыс. рублей;</w:t>
            </w:r>
          </w:p>
          <w:p>
            <w:pPr>
              <w:pStyle w:val="Normal"/>
              <w:spacing w:lineRule="auto" w:line="240" w:before="0" w:after="0"/>
              <w:jc w:val="both"/>
              <w:rPr>
                <w:highlight w:val="none"/>
                <w:shd w:fill="auto" w:val="clear"/>
              </w:rPr>
            </w:pPr>
            <w:r>
              <w:rPr>
                <w:rFonts w:cs="Times New Roman" w:ascii="Times New Roman" w:hAnsi="Times New Roman"/>
                <w:sz w:val="22"/>
                <w:szCs w:val="22"/>
                <w:shd w:fill="auto" w:val="clear"/>
              </w:rPr>
              <w:t>- 2 СПК - за производство и реализацию  шерсти - 1 млн. 342 тыс. рублей;</w:t>
            </w:r>
          </w:p>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lang w:eastAsia="ru-RU"/>
              </w:rPr>
              <w:t>- 1 глава КФХ получил грант «Агростартап» - 4 млн. 998 тыс. рублей;</w:t>
            </w:r>
          </w:p>
          <w:p>
            <w:pPr>
              <w:pStyle w:val="Normal"/>
              <w:spacing w:lineRule="auto" w:line="240" w:before="0" w:after="0"/>
              <w:jc w:val="both"/>
              <w:rPr>
                <w:highlight w:val="none"/>
                <w:shd w:fill="auto" w:val="clear"/>
              </w:rPr>
            </w:pPr>
            <w:r>
              <w:rPr>
                <w:rFonts w:eastAsia="" w:cs="Times New Roman" w:ascii="Times New Roman" w:hAnsi="Times New Roman"/>
                <w:color w:val="000000"/>
                <w:sz w:val="22"/>
                <w:szCs w:val="22"/>
                <w:shd w:fill="auto" w:val="clear"/>
                <w:lang w:eastAsia="ru-RU"/>
              </w:rPr>
              <w:t>- 2 главы КФХ получили гранты  в форме субсидий ветеранам и участникам СВО и членам их семей - 8 млн. рублей.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Организация и проведение  меро</w:t>
              <w:softHyphen/>
              <w:t>приятий по поощрению победителей соревнований в агропромышленном комплексе Туркменского муниципального округа Ставропольского края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w:t>
              <w:softHyphen/>
              <w:t>раны окружаю</w:t>
              <w:softHyphen/>
              <w:t>щей среды АТМО СК, главы крестьян</w:t>
              <w:softHyphen/>
              <w:t>ских (фермерских) хозяйств, руководители сельхозпред</w:t>
              <w:softHyphen/>
              <w:t>приятий округа</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Расходы на проведе</w:t>
              <w:softHyphen/>
              <w:t>ние соревнований в агропромышленном комплексе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highlight w:val="none"/>
                <w:shd w:fill="auto" w:val="clear"/>
              </w:rPr>
            </w:pPr>
            <w:r>
              <w:rPr>
                <w:rFonts w:eastAsia="" w:cs="Times New Roman" w:ascii="Times New Roman" w:hAnsi="Times New Roman"/>
                <w:sz w:val="22"/>
                <w:szCs w:val="22"/>
                <w:shd w:fill="auto" w:val="clear"/>
              </w:rPr>
              <w:t>тыс. руб.</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highlight w:val="none"/>
                <w:shd w:fill="auto" w:val="clear"/>
              </w:rPr>
            </w:pPr>
            <w:r>
              <w:rPr>
                <w:rFonts w:eastAsia="" w:cs="Times New Roman" w:ascii="Times New Roman" w:hAnsi="Times New Roman"/>
                <w:sz w:val="22"/>
                <w:szCs w:val="22"/>
                <w:shd w:fill="auto" w:val="clear"/>
              </w:rPr>
              <w:t>x</w:t>
            </w:r>
          </w:p>
        </w:tc>
        <w:tc>
          <w:tcPr>
            <w:tcW w:w="3569" w:type="dxa"/>
            <w:tcBorders>
              <w:left w:val="single" w:sz="4" w:space="0" w:color="000000"/>
              <w:bottom w:val="single" w:sz="4" w:space="0" w:color="000000"/>
              <w:right w:val="single" w:sz="4" w:space="0" w:color="000000"/>
            </w:tcBorders>
          </w:tcPr>
          <w:p>
            <w:pPr>
              <w:pStyle w:val="BodyText21"/>
              <w:widowControl w:val="false"/>
              <w:suppressAutoHyphens w:val="false"/>
              <w:bidi w:val="0"/>
              <w:spacing w:lineRule="auto" w:line="240" w:before="0" w:after="0"/>
              <w:ind w:hanging="57" w:right="113"/>
              <w:contextualSpacing/>
              <w:jc w:val="both"/>
              <w:rPr>
                <w:highlight w:val="none"/>
                <w:shd w:fill="auto" w:val="clear"/>
              </w:rPr>
            </w:pPr>
            <w:r>
              <w:rPr>
                <w:rFonts w:eastAsia="" w:cs="Times New Roman" w:ascii="Times New Roman" w:hAnsi="Times New Roman"/>
                <w:sz w:val="22"/>
                <w:szCs w:val="22"/>
                <w:shd w:fill="auto" w:val="clear"/>
              </w:rPr>
              <w:t>Расходы на проведе</w:t>
              <w:softHyphen/>
              <w:t>ние соревнований в агропромышленном комплексе округа за 2025 год составили</w:t>
            </w:r>
            <w:r>
              <w:rPr>
                <w:rFonts w:cs="Times New Roman" w:ascii="Times New Roman" w:hAnsi="Times New Roman"/>
                <w:sz w:val="22"/>
                <w:szCs w:val="22"/>
                <w:shd w:fill="auto" w:val="clear"/>
              </w:rPr>
              <w:t xml:space="preserve"> 176,96 тыс. рублей. Все денежные средства затрачены на поощрение работников сельского хозяйства по итогам проведения соревнований в агропромышленном комплексе Туркменского муниципального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е)</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Развитие сельскохозяйственного по</w:t>
              <w:softHyphen/>
              <w:t>требительского перерабатывающего кооператива  «Прогресс» по произ</w:t>
              <w:softHyphen/>
              <w:t>водству молочной продукции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Государственная про</w:t>
              <w:softHyphen/>
              <w:t>грамма Ставрополь</w:t>
              <w:softHyphen/>
              <w:t>ского края «Развитие сель</w:t>
              <w:softHyphen/>
              <w:t>ского хозяй</w:t>
              <w:softHyphen/>
              <w:t>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Крестьянские (фермерские) хозяйства; личные подсобные хозяйства  округа</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Производство молока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тыс.тонн</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cs="Times New Roman" w:ascii="Times New Roman" w:hAnsi="Times New Roman"/>
                <w:color w:val="000000"/>
                <w:sz w:val="22"/>
                <w:szCs w:val="22"/>
                <w:shd w:fill="auto" w:val="clear"/>
              </w:rPr>
              <w:t>По итогам 2025 года во всех категориях хозяйств округа произведено молока в объеме 8,0 тыс. тонн по причине сокращения численности КРС молочного направления</w:t>
            </w:r>
            <w:r>
              <w:rPr>
                <w:rFonts w:cs="Times New Roman" w:ascii="Times New Roman" w:hAnsi="Times New Roman"/>
                <w:sz w:val="22"/>
                <w:szCs w:val="22"/>
                <w:shd w:fill="auto" w:val="clear"/>
              </w:rPr>
              <w:t xml:space="preserve"> из-за недостаточной кормовой базы и отсутствия мест для выпаса скота.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2.1.2.</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shd w:fill="FFFFFF" w:val="clear"/>
              </w:rPr>
            </w:pPr>
            <w:r>
              <w:rPr>
                <w:rFonts w:cs="Times New Roman" w:ascii="Times New Roman" w:hAnsi="Times New Roman"/>
                <w:color w:val="000000"/>
                <w:sz w:val="22"/>
                <w:szCs w:val="22"/>
                <w:shd w:fill="FFFFFF" w:val="clear"/>
              </w:rPr>
              <w:t>Повышение конкурентоспособности производства в АПК для обеспече</w:t>
              <w:softHyphen/>
              <w:t>ния устойчивости, расширения при</w:t>
              <w:softHyphen/>
              <w:t>сутствия округа на рынках Россий</w:t>
              <w:softHyphen/>
              <w:t>ской Федерации и развития внешне</w:t>
              <w:softHyphen/>
              <w:t>экономической деятельности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Государственная про</w:t>
              <w:softHyphen/>
              <w:t>грамма Ставрополь</w:t>
              <w:softHyphen/>
              <w:t>ского края «Развитие сель</w:t>
              <w:softHyphen/>
              <w:t>ского хозяй</w:t>
              <w:softHyphen/>
              <w:t>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охраны окружающей среды АТМО СК; сельскохозяйст</w:t>
              <w:softHyphen/>
              <w:t>венные товаропроизводители округа</w:t>
            </w:r>
          </w:p>
        </w:tc>
        <w:tc>
          <w:tcPr>
            <w:tcW w:w="234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2"/>
                <w:szCs w:val="22"/>
                <w:shd w:fill="FFFFFF" w:val="clear"/>
              </w:rPr>
            </w:pPr>
            <w:r>
              <w:rPr>
                <w:rFonts w:cs="Times New Roman" w:ascii="Times New Roman" w:hAnsi="Times New Roman"/>
                <w:color w:val="000000"/>
                <w:sz w:val="22"/>
                <w:szCs w:val="22"/>
                <w:shd w:fill="FFFFFF" w:val="clear"/>
              </w:rPr>
              <w:t>Доля прибыльных сельскохозяйствен</w:t>
              <w:softHyphen/>
              <w:t>ных организаций, в общем их числе</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процент</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x</w:t>
            </w:r>
          </w:p>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pPr>
            <w:r>
              <w:rPr>
                <w:rFonts w:cs="Times New Roman" w:ascii="Times New Roman" w:hAnsi="Times New Roman"/>
                <w:color w:val="000000"/>
                <w:sz w:val="22"/>
                <w:szCs w:val="22"/>
                <w:shd w:fill="FFFFFF" w:val="clear"/>
              </w:rPr>
              <w:t xml:space="preserve">Доля прибыльных сельскохозяйственных организаций, в общем их числе составила 100%. </w:t>
            </w:r>
            <w:r>
              <w:rPr>
                <w:rFonts w:cs="Times New Roman" w:ascii="Times New Roman" w:hAnsi="Times New Roman"/>
                <w:color w:val="000000"/>
                <w:sz w:val="22"/>
                <w:szCs w:val="22"/>
                <w:shd w:fill="FFFFFF" w:val="clear"/>
                <w:lang w:eastAsia="ru-RU"/>
              </w:rPr>
              <w:t>В 2025 году все сельскохозяйственные товаропроизводители сработали с прибылью.</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Обеспечение участия сельскохозяй</w:t>
              <w:softHyphen/>
              <w:t>ственных товаропроизводителей Туркменского муниципального ок</w:t>
              <w:softHyphen/>
              <w:t>руга в конкурсах на предоставление субсидий</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охраны окружающей среды АТМО СК; главы крестьян</w:t>
              <w:softHyphen/>
              <w:t>ских (фермерских) хозяйств; сельскохозяйственные пред</w:t>
              <w:softHyphen/>
              <w:t>приятия округа</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Объем субсидий, по</w:t>
              <w:softHyphen/>
              <w:t>лученных сельскохо</w:t>
              <w:softHyphen/>
              <w:t>зяйственными това</w:t>
              <w:softHyphen/>
              <w:t>ропроизводителями округа</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тыс. руб.</w:t>
            </w:r>
          </w:p>
        </w:tc>
        <w:tc>
          <w:tcPr>
            <w:tcW w:w="1292" w:type="dxa"/>
            <w:tcBorders>
              <w:left w:val="single" w:sz="4" w:space="0" w:color="000000"/>
              <w:bottom w:val="single" w:sz="4" w:space="0" w:color="000000"/>
            </w:tcBorders>
          </w:tcPr>
          <w:p>
            <w:pPr>
              <w:pStyle w:val="Normal"/>
              <w:spacing w:lineRule="auto" w:line="240" w:before="0" w:after="0"/>
              <w:jc w:val="center"/>
              <w:rPr/>
            </w:pPr>
            <w:r>
              <w:rPr>
                <w:rFonts w:eastAsia="" w:cs="Times New Roman" w:ascii="Times New Roman" w:hAnsi="Times New Roman"/>
                <w:sz w:val="22"/>
                <w:szCs w:val="22"/>
                <w:shd w:fill="FFFFFF" w:val="clear"/>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color w:val="000000"/>
                <w:sz w:val="22"/>
                <w:szCs w:val="22"/>
                <w:shd w:fill="auto" w:val="clear"/>
                <w:lang w:eastAsia="ru-RU"/>
              </w:rPr>
              <w:t>За 2025 год сельхозтоваропроизводителями получена государственная поддержка, в том числе:</w:t>
            </w:r>
          </w:p>
          <w:p>
            <w:pPr>
              <w:pStyle w:val="Normal"/>
              <w:spacing w:lineRule="auto" w:line="240" w:before="0" w:after="0"/>
              <w:jc w:val="both"/>
              <w:rPr>
                <w:rFonts w:ascii="Times New Roman" w:hAnsi="Times New Roman" w:cs="Times New Roman"/>
                <w:sz w:val="28"/>
                <w:szCs w:val="28"/>
                <w:shd w:fill="auto" w:val="clear"/>
              </w:rPr>
            </w:pPr>
            <w:r>
              <w:rPr>
                <w:rFonts w:cs="Times New Roman" w:ascii="Times New Roman" w:hAnsi="Times New Roman"/>
                <w:sz w:val="22"/>
                <w:szCs w:val="22"/>
                <w:shd w:fill="auto" w:val="clear"/>
              </w:rPr>
              <w:t>- 1 глава КФХ -  в области повышения кадровой обеспеченности предприятий АПК (агроклассы) - 2 млн. 897 тыс. рублей;</w:t>
            </w:r>
          </w:p>
          <w:p>
            <w:pPr>
              <w:pStyle w:val="Normal"/>
              <w:spacing w:lineRule="auto" w:line="240" w:before="0" w:after="0"/>
              <w:jc w:val="both"/>
              <w:rPr>
                <w:rFonts w:ascii="Times New Roman" w:hAnsi="Times New Roman" w:cs="Times New Roman"/>
                <w:sz w:val="22"/>
                <w:szCs w:val="22"/>
                <w:shd w:fill="auto" w:val="clear"/>
              </w:rPr>
            </w:pPr>
            <w:r>
              <w:rPr>
                <w:rFonts w:eastAsia="" w:cs="Times New Roman" w:ascii="Times New Roman" w:hAnsi="Times New Roman"/>
                <w:sz w:val="22"/>
                <w:szCs w:val="22"/>
                <w:shd w:fill="FFFFFF" w:val="clear"/>
                <w:lang w:eastAsia="ru-RU"/>
              </w:rPr>
              <w:t>- 6 глав КФХ и 6 СПК - в области растениеводства (по производству и реализации зерновых) - 16 млн. 555 тыс. рублей;</w:t>
            </w:r>
          </w:p>
          <w:p>
            <w:pPr>
              <w:pStyle w:val="Normal"/>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- 3 главы КФХ и 1 СПК -  в области растениеводства (элита) - 1 млн. 873 тыс. рублей;</w:t>
            </w:r>
          </w:p>
          <w:p>
            <w:pPr>
              <w:pStyle w:val="Normal"/>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- 5 глав КФХ и  3 СПК - на страхование зерновых - 8 млн. 601 тыс. рублей;</w:t>
            </w:r>
          </w:p>
          <w:p>
            <w:pPr>
              <w:pStyle w:val="Normal"/>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- 2 СПК - за производство и реализацию  шерсти - 1 млн. 342 тыс. рублей;</w:t>
            </w:r>
          </w:p>
          <w:p>
            <w:pPr>
              <w:pStyle w:val="Normal"/>
              <w:spacing w:lineRule="auto" w:line="240" w:before="0" w:after="0"/>
              <w:jc w:val="both"/>
              <w:rPr>
                <w:rFonts w:ascii="Times New Roman" w:hAnsi="Times New Roman" w:cs="Times New Roman"/>
                <w:sz w:val="22"/>
                <w:szCs w:val="22"/>
                <w:shd w:fill="auto" w:val="clear"/>
              </w:rPr>
            </w:pPr>
            <w:r>
              <w:rPr>
                <w:rFonts w:eastAsia="" w:cs="Times New Roman" w:ascii="Times New Roman" w:hAnsi="Times New Roman"/>
                <w:sz w:val="22"/>
                <w:szCs w:val="22"/>
                <w:shd w:fill="FFFFFF" w:val="clear"/>
                <w:lang w:eastAsia="ru-RU"/>
              </w:rPr>
              <w:t>- 1 глава КФХ получил грант «Агростартап» - 4 млн. 998 тыс. рублей;</w:t>
            </w:r>
          </w:p>
          <w:p>
            <w:pPr>
              <w:pStyle w:val="Normal"/>
              <w:spacing w:lineRule="auto" w:line="240" w:before="0" w:after="0"/>
              <w:jc w:val="both"/>
              <w:rPr>
                <w:rFonts w:ascii="Times New Roman" w:hAnsi="Times New Roman" w:cs="Times New Roman"/>
                <w:color w:val="000000"/>
                <w:sz w:val="22"/>
                <w:szCs w:val="22"/>
                <w:shd w:fill="auto" w:val="clear"/>
              </w:rPr>
            </w:pPr>
            <w:r>
              <w:rPr>
                <w:rFonts w:eastAsia="" w:cs="Times New Roman" w:ascii="Times New Roman" w:hAnsi="Times New Roman"/>
                <w:color w:val="000000"/>
                <w:sz w:val="22"/>
                <w:szCs w:val="22"/>
                <w:shd w:fill="FFFFFF" w:val="clear"/>
                <w:lang w:eastAsia="ru-RU"/>
              </w:rPr>
              <w:t>- 2 главы КФХ получили гранты  в форме субсидий ветеранам и участникам СВО и членам их семей - 8 млн. рублей.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2.1.3.</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Устойчивое развитие сельских территорий за счет повышения качества среды в сельской местности и уровня жизни населения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Проведение монито</w:t>
              <w:softHyphen/>
              <w:t>ринга проектов Туркменского муниципального округа направленных на по развитию  транспортной инфраструктуры и благоустройства сельских террито</w:t>
              <w:softHyphen/>
              <w:t>рий Туркменского муниципального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охрану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реализо</w:t>
              <w:softHyphen/>
              <w:t>ванных проектов по благоустройству сельских территорий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x</w:t>
            </w:r>
          </w:p>
        </w:tc>
        <w:tc>
          <w:tcPr>
            <w:tcW w:w="3569" w:type="dxa"/>
            <w:tcBorders>
              <w:left w:val="single" w:sz="4" w:space="0" w:color="000000"/>
              <w:bottom w:val="single" w:sz="4" w:space="0" w:color="000000"/>
              <w:right w:val="single" w:sz="4" w:space="0" w:color="000000"/>
            </w:tcBorders>
          </w:tcPr>
          <w:p>
            <w:pPr>
              <w:pStyle w:val="Normal"/>
              <w:widowControl/>
              <w:suppressAutoHyphens w:val="false"/>
              <w:bidi w:val="0"/>
              <w:spacing w:lineRule="auto" w:line="240" w:before="0" w:after="0"/>
              <w:ind w:hanging="0" w:right="0"/>
              <w:jc w:val="both"/>
              <w:rPr>
                <w:sz w:val="22"/>
                <w:szCs w:val="22"/>
              </w:rPr>
            </w:pPr>
            <w:r>
              <w:rPr>
                <w:rFonts w:cs="Times New Roman" w:ascii="Times New Roman" w:hAnsi="Times New Roman"/>
                <w:b w:val="false"/>
                <w:i w:val="false"/>
                <w:strike w:val="false"/>
                <w:dstrike w:val="false"/>
                <w:outline w:val="false"/>
                <w:shadow w:val="false"/>
                <w:sz w:val="22"/>
                <w:szCs w:val="22"/>
                <w:u w:val="none"/>
                <w:em w:val="none"/>
              </w:rPr>
              <w:t xml:space="preserve">В сфере благоустройства реализовано два  проекта регионального проекта «Формирование комфортной городской среды» национального проекта «Инфраструктура для жизни», </w:t>
            </w:r>
            <w:r>
              <w:rPr>
                <w:rFonts w:cs="Times New Roman" w:ascii="Times New Roman" w:hAnsi="Times New Roman"/>
                <w:b w:val="false"/>
                <w:bCs w:val="false"/>
                <w:i w:val="false"/>
                <w:strike w:val="false"/>
                <w:dstrike w:val="false"/>
                <w:outline w:val="false"/>
                <w:shadow w:val="false"/>
                <w:color w:val="000000"/>
                <w:sz w:val="22"/>
                <w:szCs w:val="22"/>
                <w:u w:val="none"/>
                <w:em w:val="none"/>
              </w:rPr>
              <w:t>инициированного Президентом Российской Федерации Путиным В.В</w:t>
            </w:r>
            <w:r>
              <w:rPr>
                <w:rFonts w:cs="Times New Roman" w:ascii="Times New Roman" w:hAnsi="Times New Roman"/>
                <w:b w:val="false"/>
                <w:i w:val="false"/>
                <w:strike w:val="false"/>
                <w:dstrike w:val="false"/>
                <w:outline w:val="false"/>
                <w:shadow w:val="false"/>
                <w:sz w:val="22"/>
                <w:szCs w:val="22"/>
                <w:u w:val="none"/>
                <w:em w:val="none"/>
              </w:rPr>
              <w:t>:</w:t>
            </w:r>
          </w:p>
          <w:p>
            <w:pPr>
              <w:pStyle w:val="Normal"/>
              <w:widowControl/>
              <w:suppressAutoHyphens w:val="false"/>
              <w:bidi w:val="0"/>
              <w:spacing w:lineRule="auto" w:line="240" w:before="0" w:after="0"/>
              <w:ind w:hanging="0" w:right="0"/>
              <w:jc w:val="both"/>
              <w:rPr>
                <w:rFonts w:ascii="Times New Roman" w:hAnsi="Times New Roman" w:cs="Times New Roman"/>
                <w:b w:val="false"/>
                <w:i w:val="false"/>
                <w:i w:val="false"/>
                <w:strike w:val="false"/>
                <w:dstrike w:val="false"/>
                <w:outline w:val="false"/>
                <w:shadow w:val="false"/>
                <w:sz w:val="28"/>
                <w:szCs w:val="28"/>
                <w:u w:val="none"/>
                <w:em w:val="none"/>
              </w:rPr>
            </w:pPr>
            <w:r>
              <w:rPr>
                <w:rFonts w:cs="Times New Roman" w:ascii="Times New Roman" w:hAnsi="Times New Roman"/>
                <w:b w:val="false"/>
                <w:i w:val="false"/>
                <w:strike w:val="false"/>
                <w:dstrike w:val="false"/>
                <w:outline w:val="false"/>
                <w:shadow w:val="false"/>
                <w:sz w:val="22"/>
                <w:szCs w:val="22"/>
                <w:u w:val="none"/>
                <w:em w:val="none"/>
              </w:rPr>
              <w:t>- «Благоустройство территории на объекте Сиреневый сквер» в с. Летняя Ставка, на который в 2025 году предусмотрено 24,709 млн. рублей, в том числе  федеральный бюджет — 24,437 млн. рублей, бюджет Ставропольского края — 246,845 тыс. рублей, бюджет Туркменского муниципального округа Ставропольского края — 24,709 тыс. рублей. Проект реализован на сумму 24,709 млн. рублей.</w:t>
            </w:r>
          </w:p>
          <w:p>
            <w:pPr>
              <w:pStyle w:val="Normal"/>
              <w:widowControl/>
              <w:suppressAutoHyphens w:val="false"/>
              <w:bidi w:val="0"/>
              <w:spacing w:lineRule="auto" w:line="240" w:before="0" w:after="0"/>
              <w:ind w:hanging="0" w:right="0"/>
              <w:jc w:val="both"/>
              <w:rPr>
                <w:sz w:val="22"/>
                <w:szCs w:val="22"/>
                <w:highlight w:val="none"/>
                <w:shd w:fill="auto" w:val="clear"/>
              </w:rPr>
            </w:pPr>
            <w:r>
              <w:rPr>
                <w:rFonts w:cs="Times New Roman" w:ascii="Times New Roman" w:hAnsi="Times New Roman"/>
                <w:b w:val="false"/>
                <w:bCs/>
                <w:i w:val="false"/>
                <w:iCs w:val="false"/>
                <w:strike w:val="false"/>
                <w:dstrike w:val="false"/>
                <w:outline w:val="false"/>
                <w:shadow w:val="false"/>
                <w:color w:val="000000"/>
                <w:sz w:val="22"/>
                <w:szCs w:val="22"/>
                <w:u w:val="none"/>
                <w:shd w:fill="auto" w:val="clear"/>
                <w:em w:val="none"/>
              </w:rPr>
              <w:t>- «Благоустройство территории на объекте «Зона отдыха по улице Мира в селе Летняя Ставка» на общую сумму 5,674 млн. рублей, в том числе  федеральный бюджет — 5,601 млн. рублей, бюджет Ставропольского края — 56,77 тыс. рублей, бюджет Туркменского муниципального округа Ставропольского края — 16,899 тыс. рублей.</w:t>
            </w:r>
          </w:p>
          <w:p>
            <w:pPr>
              <w:pStyle w:val="Normal"/>
              <w:spacing w:lineRule="auto" w:line="240" w:before="0" w:after="0"/>
              <w:ind w:right="0"/>
              <w:jc w:val="both"/>
              <w:rPr>
                <w:rFonts w:ascii="Times New Roman" w:hAnsi="Times New Roman" w:cs="Times New Roman"/>
                <w:bCs/>
                <w:i w:val="false"/>
                <w:i w:val="false"/>
                <w:iCs w:val="false"/>
                <w:color w:val="000000"/>
                <w:sz w:val="22"/>
                <w:szCs w:val="22"/>
              </w:rPr>
            </w:pPr>
            <w:r>
              <w:rPr>
                <w:rFonts w:cs="Times New Roman" w:ascii="Times New Roman" w:hAnsi="Times New Roman"/>
                <w:bCs/>
                <w:i w:val="false"/>
                <w:iCs w:val="false"/>
                <w:color w:val="000000"/>
                <w:sz w:val="22"/>
                <w:szCs w:val="22"/>
              </w:rPr>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Подготовка документов на участие в конкурсном отборе проектной доку</w:t>
              <w:softHyphen/>
              <w:t>ментации  на строительство и рекон</w:t>
              <w:softHyphen/>
              <w:t>струкцию транспортной инфра</w:t>
              <w:softHyphen/>
              <w:t>структуры сельских территорий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Государственная про</w:t>
              <w:softHyphen/>
              <w:t>грамма Ставрополь</w:t>
              <w:softHyphen/>
              <w:t>ского края «Развитие сель</w:t>
              <w:softHyphen/>
              <w:t>ского хозяй</w:t>
              <w:softHyphen/>
              <w:t>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охрану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реализо</w:t>
              <w:softHyphen/>
              <w:t>ванных проектов по развитию транспорт</w:t>
              <w:softHyphen/>
              <w:t>ной инфраструктуры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На 2026 год проекты Туркменского муниципального округа не прошли отбор, предусмотренный министерством сельского хозяйства Российской Федерации.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Подготовка документов на участие в конкурсном отборе на благоустрой</w:t>
              <w:softHyphen/>
              <w:t>ство сельских территорий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Государственная про</w:t>
              <w:softHyphen/>
              <w:t>грамма Ставрополь</w:t>
              <w:softHyphen/>
              <w:t>ского края «Развитие сель</w:t>
              <w:softHyphen/>
              <w:t>ского хозяй</w:t>
              <w:softHyphen/>
              <w:t>ства»</w:t>
            </w:r>
          </w:p>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охрану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реализо</w:t>
              <w:softHyphen/>
              <w:t>ванных проектов по благоустройству сельских территорий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На 2026 год проекты Туркменского муниципального округа не прошли отбор, предусмотренный министерством сельского хозяйства Российской Федерации.</w:t>
            </w:r>
          </w:p>
        </w:tc>
      </w:tr>
      <w:tr>
        <w:trPr>
          <w:trHeight w:val="3614" w:hRule="atLeast"/>
        </w:trPr>
        <w:tc>
          <w:tcPr>
            <w:tcW w:w="7192" w:type="dxa"/>
            <w:gridSpan w:val="5"/>
            <w:tcBorders>
              <w:left w:val="single" w:sz="4" w:space="0" w:color="000000"/>
              <w:bottom w:val="single" w:sz="4" w:space="0" w:color="000000"/>
              <w:right w:val="single" w:sz="4" w:space="0" w:color="000000"/>
            </w:tcBorders>
          </w:tcPr>
          <w:p>
            <w:pPr>
              <w:pStyle w:val="Normal"/>
              <w:spacing w:lineRule="auto" w:line="240" w:before="0" w:after="0"/>
              <w:jc w:val="left"/>
              <w:rPr>
                <w:rFonts w:ascii="Times New Roman" w:hAnsi="Times New Roman" w:eastAsia="" w:cs="Times New Roman"/>
                <w:b/>
              </w:rPr>
            </w:pPr>
            <w:r>
              <w:rPr>
                <w:rFonts w:eastAsia="" w:cs="Times New Roman" w:ascii="Times New Roman" w:hAnsi="Times New Roman"/>
                <w:b/>
                <w:bCs/>
                <w:sz w:val="22"/>
                <w:szCs w:val="22"/>
                <w:lang w:eastAsia="ru-RU"/>
              </w:rPr>
              <w:t>2.2. Развитие промышленности</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Объем отгруженных товаров собственного производства, вы</w:t>
              <w:softHyphen/>
              <w:t>полненных работ и услуг собственными силами «Обрабаты</w:t>
              <w:softHyphen/>
              <w:t>вающие производ</w:t>
              <w:softHyphen/>
              <w:t>ства»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pPr>
            <w:r>
              <w:rPr>
                <w:rFonts w:eastAsia="Times New Roman" w:cs="Times New Roman" w:ascii="Times New Roman" w:hAnsi="Times New Roman"/>
                <w:color w:val="000000"/>
                <w:sz w:val="22"/>
                <w:szCs w:val="22"/>
                <w:lang w:eastAsia="ru-RU"/>
              </w:rPr>
              <w:t xml:space="preserve"> </w:t>
            </w:r>
            <w:r>
              <w:rPr>
                <w:rFonts w:cs="Times New Roman" w:ascii="Times New Roman" w:hAnsi="Times New Roman"/>
                <w:color w:val="000000"/>
                <w:sz w:val="22"/>
                <w:szCs w:val="22"/>
                <w:lang w:eastAsia="ru-RU"/>
              </w:rPr>
              <w:t>м</w:t>
            </w:r>
            <w:r>
              <w:rPr>
                <w:rFonts w:eastAsia="" w:cs="Times New Roman" w:ascii="Times New Roman" w:hAnsi="Times New Roman"/>
                <w:color w:val="000000"/>
                <w:sz w:val="22"/>
                <w:szCs w:val="22"/>
                <w:lang w:eastAsia="ru-RU"/>
              </w:rPr>
              <w:t>лн. рублей</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ind w:right="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За 2025 год отгружено товаров собственного производства, выполнено работ и услуг собственными силами в фактических ценах, организациями, не относящимися к субъектам малого предпринимательства, по чистым видам деятельности на общую сумму 187,6 млн. рублей.</w:t>
            </w:r>
          </w:p>
          <w:p>
            <w:pPr>
              <w:pStyle w:val="user2"/>
              <w:spacing w:lineRule="auto" w:line="240" w:before="0" w:after="0"/>
              <w:ind w:right="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В объеме отгруженных товаров продукция, относящаяся к виду экономической деятельности «промышленность» составила 213,1 млн. рублей (на 13,1 % больше, чем в 2024 году), «Обрабатывающие производства», составила 14,7 млн. рублей (на 7,5%  больше, чем в 2024 году).</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2.2.1.</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Увеличение доли производства промышленности в общем объеме выпуска товаров, работ и услуг организаций, осуществляющих деятельность на территории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color w:val="000000"/>
                <w:shd w:fill="FFFFFF" w:val="clear"/>
              </w:rPr>
            </w:pPr>
            <w:r>
              <w:rPr>
                <w:rFonts w:eastAsia="" w:cs="Times New Roman" w:ascii="Times New Roman" w:hAnsi="Times New Roman"/>
                <w:color w:val="000000"/>
                <w:shd w:fill="FFFFFF" w:val="clear"/>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Доведение до сведения сельскохо</w:t>
              <w:softHyphen/>
              <w:t>зяйственных товаропроизводителей  округа информации о действующих мерах государственной поддержки сельскохозяйственного производства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w:t>
              <w:softHyphen/>
              <w:t>раны окружаю</w:t>
              <w:softHyphen/>
              <w:t>щей среды АТМО СК; сельскохозяйст</w:t>
              <w:softHyphen/>
              <w:t>венные товаропроизводители  округа</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Объем субсидий по</w:t>
              <w:softHyphen/>
              <w:t>лученных сельскохо</w:t>
              <w:softHyphen/>
              <w:t>зяйственными това</w:t>
              <w:softHyphen/>
              <w:t>ропроизводителями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млн. руб.</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color w:val="000000"/>
                <w:sz w:val="22"/>
                <w:szCs w:val="22"/>
                <w:shd w:fill="auto" w:val="clear"/>
              </w:rPr>
              <w:t>За 2025 год сельхозтоваропроизводителями получена государственная поддержка, в том числе:</w:t>
            </w:r>
          </w:p>
          <w:p>
            <w:pPr>
              <w:pStyle w:val="Normal"/>
              <w:spacing w:lineRule="auto" w:line="240" w:before="0" w:after="0"/>
              <w:jc w:val="both"/>
              <w:rPr/>
            </w:pPr>
            <w:r>
              <w:rPr>
                <w:rFonts w:cs="Times New Roman" w:ascii="Times New Roman" w:hAnsi="Times New Roman"/>
                <w:sz w:val="22"/>
                <w:szCs w:val="22"/>
                <w:shd w:fill="auto" w:val="clear"/>
              </w:rPr>
              <w:t>- 1 глава КФХ -  в области повышения кадровой обеспеченности предприятий АПК (агроклассы) - 2 млн. 897 тыс. рублей;</w:t>
            </w:r>
          </w:p>
          <w:p>
            <w:pPr>
              <w:pStyle w:val="Normal"/>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- 6 глав КФХ и 6 СПК - в области растениеводства (по производству и реализации зерновых) - 16 млн. 555 тыс. рублей;</w:t>
            </w:r>
          </w:p>
          <w:p>
            <w:pPr>
              <w:pStyle w:val="Normal"/>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- 3 главы КФХ и 1 СПК -  в области растениеводства (элита) - 1 млн. 873 тыс. рублей;</w:t>
            </w:r>
          </w:p>
          <w:p>
            <w:pPr>
              <w:pStyle w:val="Normal"/>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- 5 глав КФХ и  3 СПК - на страхование зерновых - 8 млн. 601 тыс. рублей;</w:t>
            </w:r>
          </w:p>
          <w:p>
            <w:pPr>
              <w:pStyle w:val="Normal"/>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- 2 СПК - за производство и реализацию  шерсти - 1 млн. 342 тыс. рублей;</w:t>
            </w:r>
          </w:p>
          <w:p>
            <w:pPr>
              <w:pStyle w:val="Normal"/>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- 1 глава КФХ получил грант «Агростартап» - 4 млн. 998 тыс. рублей;</w:t>
            </w:r>
          </w:p>
          <w:p>
            <w:pPr>
              <w:pStyle w:val="Normal"/>
              <w:spacing w:lineRule="auto" w:line="240" w:before="0" w:after="0"/>
              <w:jc w:val="both"/>
              <w:rPr>
                <w:rFonts w:ascii="Times New Roman" w:hAnsi="Times New Roman" w:cs="Times New Roman"/>
                <w:color w:val="000000"/>
                <w:sz w:val="22"/>
                <w:szCs w:val="22"/>
                <w:shd w:fill="auto" w:val="clear"/>
                <w:lang w:eastAsia="ru-RU"/>
              </w:rPr>
            </w:pPr>
            <w:r>
              <w:rPr>
                <w:rFonts w:cs="Times New Roman" w:ascii="Times New Roman" w:hAnsi="Times New Roman"/>
                <w:color w:val="000000"/>
                <w:sz w:val="22"/>
                <w:szCs w:val="22"/>
                <w:shd w:fill="auto" w:val="clear"/>
                <w:lang w:eastAsia="ru-RU"/>
              </w:rPr>
              <w:t>- 2 главы КФХ получили гранты  в форме субсидий ветеранам и участникам СВО и членам их семей - 8 млн. рублей.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Работа по привлечению сельскохо</w:t>
              <w:softHyphen/>
              <w:t>зяйственных товаропроизводителей, в том числе личных подсобных хо</w:t>
              <w:softHyphen/>
              <w:t>зяйств к участию в программах по закладке садов супернтенсивного типа и  строительству теплиц</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w:t>
              <w:softHyphen/>
              <w:t>раны окружаю</w:t>
              <w:softHyphen/>
              <w:t>щей среды АТМО СК; сельскохозяйст</w:t>
              <w:softHyphen/>
              <w:t>венные товаропроизводители округа</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tc>
        <w:tc>
          <w:tcPr>
            <w:tcW w:w="1292" w:type="dxa"/>
            <w:tcBorders>
              <w:left w:val="single" w:sz="4" w:space="0" w:color="000000"/>
              <w:bottom w:val="single" w:sz="4" w:space="0" w:color="000000"/>
            </w:tcBorders>
          </w:tcPr>
          <w:p>
            <w:pPr>
              <w:pStyle w:val="Normal"/>
              <w:snapToGrid w:val="false"/>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Всего в 2025 году заложено 20 садов.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2.2.2.</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Создание благоприятного инвестиционного климата для проведения технического перевооружения, реконструкции и нового строительства объектов на основе инновационных технологий и ресурсосберегающего оборудования с соблюдением экологического законодательства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Информирование сельскохозяйст</w:t>
              <w:softHyphen/>
              <w:t>венных товаропроизводителей ок</w:t>
              <w:softHyphen/>
              <w:t>руга  о существующих программах развития сельскохозяйственного производства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охраны окружающей среды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tc>
        <w:tc>
          <w:tcPr>
            <w:tcW w:w="1292" w:type="dxa"/>
            <w:tcBorders>
              <w:left w:val="single" w:sz="4" w:space="0" w:color="000000"/>
              <w:bottom w:val="single" w:sz="4" w:space="0" w:color="000000"/>
            </w:tcBorders>
          </w:tcPr>
          <w:p>
            <w:pPr>
              <w:pStyle w:val="Normal"/>
              <w:snapToGrid w:val="false"/>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Ведется постоянная работа по информированию сельскохозяйственных товаропроизводителей  о программах поддержки сельскохозяйственного производства.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Мониторинг приобретения новой сельскохозяйственной техники сель</w:t>
              <w:softHyphen/>
              <w:t>скохозяйственными товаропроизво</w:t>
              <w:softHyphen/>
              <w:t>дителями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охраны окружающей среды АТМО СК; сельскохозяйст</w:t>
              <w:softHyphen/>
              <w:t>венные товаропроизводители округа</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Приобретение тех</w:t>
              <w:softHyphen/>
              <w:t>ники сельскохозяйст</w:t>
              <w:softHyphen/>
              <w:t>венными товаропро</w:t>
              <w:softHyphen/>
              <w:t>изводителями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млн. руб.</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p>
            <w:pPr>
              <w:pStyle w:val="Normal"/>
              <w:spacing w:lineRule="auto" w:line="240" w:before="0" w:after="0"/>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За 2025 год сельскохозяйственными товаропроизводителями приобретено новой техники на сумму более 400,0 млн. рублей.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2.2.3.</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Привлечение инвестиций в основной капитал предприятий промышлен</w:t>
              <w:softHyphen/>
              <w:t>ных видов экономической деятель</w:t>
              <w:softHyphen/>
              <w:t>ности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hd w:fill="FFFFFF" w:val="clear"/>
              </w:rPr>
            </w:pPr>
            <w:r>
              <w:rPr>
                <w:rFonts w:eastAsia="" w:cs="Times New Roman" w:ascii="Times New Roman" w:hAnsi="Times New Roman"/>
                <w:shd w:fill="FFFFFF" w:val="clear"/>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Проведение мониторинга объема ин</w:t>
              <w:softHyphen/>
              <w:t>вестиций в основной капитал сель</w:t>
              <w:softHyphen/>
              <w:t>ского хозяйства, а также реализуе</w:t>
              <w:softHyphen/>
              <w:t>мых инвестиционных проектов на территории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охраны окружающей среды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Объем инвестиций в основной капитал сельского хозяйства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млн. руб.</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sz w:val="22"/>
                <w:szCs w:val="22"/>
                <w:shd w:fill="FFFFFF" w:val="clear"/>
              </w:rPr>
              <w:t xml:space="preserve">Объем инвестиций в основной капитал сельского хозяйства составил 536,1 млн. рублей. </w:t>
            </w:r>
            <w:r>
              <w:rPr>
                <w:rFonts w:cs="Times New Roman" w:ascii="Times New Roman" w:hAnsi="Times New Roman"/>
                <w:sz w:val="22"/>
                <w:szCs w:val="22"/>
                <w:shd w:fill="FFFFFF" w:val="clear"/>
              </w:rPr>
              <w:t xml:space="preserve"> В 2025 году инвестиции были вложены по следующим направлениям: строительство зданий и сооружений; приобретение машин,  оборудования, транспортных средств и т. д.; на покупку земли; на закладку многолетних насаждений.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Оказывать содействие сельскохозяй</w:t>
              <w:softHyphen/>
              <w:t>ственным товаропроизводителям в продвижении продукции на внут</w:t>
              <w:softHyphen/>
              <w:t>ренние и внешние рынки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w:t>
              <w:softHyphen/>
              <w:t>раны окружаю</w:t>
              <w:softHyphen/>
              <w:t>щей среды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На постоянной основе сельскохозяйственным товаропроизводителям доводится информация о проводимых ярмарках и выставках, где можно осуществлять реализацию производимой продукции.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Оказывать содействие сельскохозяй</w:t>
              <w:softHyphen/>
              <w:t>ственным товаропроизводителям в программах  по строительству оро</w:t>
              <w:softHyphen/>
              <w:t>сительных систем</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w:t>
              <w:softHyphen/>
              <w:t>раны окружаю</w:t>
              <w:softHyphen/>
              <w:t>щей среды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Оказывается информационная поддержка о действующих мерах государственной поддержки строительства мелиоративных систем.</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Оказание содействия сельхозтоваропроизводителям в проведении тех</w:t>
              <w:softHyphen/>
              <w:t>нической  и технологической модер</w:t>
              <w:softHyphen/>
              <w:t>низации, повышение доходности сельскохозяйственного производства в рамках государственной про</w:t>
              <w:softHyphen/>
              <w:t>граммы Ставропольского края  «Раз</w:t>
              <w:softHyphen/>
              <w:t>витие сельского хозяйства»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Главы крестьянских (фермер</w:t>
              <w:softHyphen/>
              <w:t>ских) хозяйств, сельскохозяй</w:t>
              <w:softHyphen/>
              <w:t>ственные предприятия округа</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На постоянной основе сельскохозяйственным производителям доводится информация о поступающих предложениях по продаже техники, удобрений, средств защиты и действующих льготных программах.</w:t>
            </w:r>
          </w:p>
        </w:tc>
      </w:tr>
      <w:tr>
        <w:trPr/>
        <w:tc>
          <w:tcPr>
            <w:tcW w:w="7192" w:type="dxa"/>
            <w:gridSpan w:val="5"/>
            <w:tcBorders>
              <w:left w:val="single" w:sz="4" w:space="0" w:color="000000"/>
              <w:bottom w:val="single" w:sz="4" w:space="0" w:color="000000"/>
              <w:right w:val="single" w:sz="4" w:space="0" w:color="000000"/>
            </w:tcBorders>
          </w:tcPr>
          <w:p>
            <w:pPr>
              <w:pStyle w:val="Normal"/>
              <w:spacing w:lineRule="auto" w:line="240" w:before="0" w:after="0"/>
              <w:jc w:val="left"/>
              <w:rPr>
                <w:rFonts w:ascii="Times New Roman" w:hAnsi="Times New Roman" w:cs="Times New Roman"/>
                <w:b/>
              </w:rPr>
            </w:pPr>
            <w:r>
              <w:rPr>
                <w:rFonts w:cs="Times New Roman" w:ascii="Times New Roman" w:hAnsi="Times New Roman"/>
                <w:b/>
                <w:bCs/>
                <w:sz w:val="22"/>
                <w:szCs w:val="22"/>
              </w:rPr>
              <w:t>2.3. Развитие внешнеэкономической деятельности</w:t>
            </w:r>
          </w:p>
        </w:tc>
        <w:tc>
          <w:tcPr>
            <w:tcW w:w="234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2"/>
                <w:szCs w:val="22"/>
                <w:shd w:fill="FFFFFF" w:val="clear"/>
              </w:rPr>
            </w:pPr>
            <w:r>
              <w:rPr>
                <w:rFonts w:cs="Times New Roman" w:ascii="Times New Roman" w:hAnsi="Times New Roman"/>
                <w:color w:val="000000"/>
                <w:sz w:val="22"/>
                <w:szCs w:val="22"/>
                <w:shd w:fill="FFFFFF" w:val="clear"/>
              </w:rPr>
              <w:t>Прирост компаний-экспортеров из числа МСП по итогам вне</w:t>
              <w:softHyphen/>
              <w:t>дрения Региональ</w:t>
              <w:softHyphen/>
              <w:t>ного экспортного стандарта 2.0.</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pPr>
            <w:r>
              <w:rPr>
                <w:rFonts w:eastAsia="" w:cs="Times New Roman" w:ascii="Times New Roman" w:hAnsi="Times New Roman"/>
                <w:sz w:val="22"/>
                <w:szCs w:val="22"/>
                <w:shd w:fill="FFFFFF" w:val="clear"/>
                <w:lang w:eastAsia="ru-RU"/>
              </w:rPr>
              <w:t>На территории округа отсутствуют к</w:t>
            </w:r>
            <w:r>
              <w:rPr>
                <w:rFonts w:eastAsia="" w:cs="Times New Roman" w:ascii="Times New Roman" w:hAnsi="Times New Roman"/>
                <w:color w:val="000000"/>
                <w:sz w:val="22"/>
                <w:szCs w:val="22"/>
                <w:shd w:fill="FFFFFF" w:val="clear"/>
                <w:lang w:eastAsia="ru-RU"/>
              </w:rPr>
              <w:t>омпании-экспортеры из числа МСП по итогам вне</w:t>
              <w:softHyphen/>
              <w:t>дрения Региональ</w:t>
              <w:softHyphen/>
              <w:t>ного экспортного стандарта 2.0. Факт - 0.</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2.3.1.</w:t>
            </w:r>
          </w:p>
        </w:tc>
        <w:tc>
          <w:tcPr>
            <w:tcW w:w="14627" w:type="dxa"/>
            <w:gridSpan w:val="8"/>
            <w:tcBorders>
              <w:left w:val="single" w:sz="4" w:space="0" w:color="000000"/>
              <w:bottom w:val="single" w:sz="4" w:space="0" w:color="000000"/>
              <w:right w:val="single" w:sz="4" w:space="0" w:color="000000"/>
            </w:tcBorders>
          </w:tcPr>
          <w:p>
            <w:pPr>
              <w:pStyle w:val="msonormalmailrucssattributepostfix"/>
              <w:shd w:val="clear" w:fill="FFFFFF"/>
              <w:spacing w:before="0" w:after="0"/>
              <w:rPr>
                <w:rFonts w:ascii="Times New Roman" w:hAnsi="Times New Roman" w:cs="Times New Roman"/>
                <w:sz w:val="22"/>
                <w:szCs w:val="22"/>
              </w:rPr>
            </w:pPr>
            <w:r>
              <w:rPr>
                <w:rFonts w:cs="Times New Roman"/>
                <w:sz w:val="22"/>
                <w:szCs w:val="22"/>
              </w:rPr>
              <w:t>Содействие развитию экспортной деятельности на базе филиала акционерного общества «Российский экспортный центр» в г. Ставрополе и Центра поддержки экспорта Ставропольского края при некоммерческой организации «Фонд поддержки предпринимательства в Ставропольском крае» пред</w:t>
              <w:softHyphen/>
              <w:t>приятиям, ориентированным на осуществление внешнеэкономической деятельности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msonormalmailrucssattributepostfix"/>
              <w:shd w:val="clear" w:fill="FFFFFF"/>
              <w:spacing w:before="0" w:after="0"/>
              <w:jc w:val="both"/>
              <w:rPr>
                <w:rFonts w:ascii="Times New Roman" w:hAnsi="Times New Roman" w:cs="Times New Roman"/>
                <w:sz w:val="22"/>
                <w:szCs w:val="22"/>
              </w:rPr>
            </w:pPr>
            <w:r>
              <w:rPr>
                <w:rFonts w:cs="Times New Roman"/>
                <w:sz w:val="22"/>
                <w:szCs w:val="22"/>
              </w:rPr>
              <w:t>Создание условий для привлечения инвестиций и поддержка инвестици</w:t>
              <w:softHyphen/>
              <w:t>онных проектов, направленных на производство конкурентоспособной продукции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w:t>
              <w:softHyphen/>
              <w:t>раны окружаю</w:t>
              <w:softHyphen/>
              <w:t>щей среды АТМО СК, отдел экономиче</w:t>
              <w:softHyphen/>
              <w:t>ского развития и закупок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formattextmailrucssattributepostfix"/>
              <w:snapToGrid w:val="false"/>
              <w:spacing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formattextmailrucssattributepostfix"/>
              <w:snapToGrid w:val="false"/>
              <w:spacing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formattextmailrucssattributepostfix"/>
              <w:snapToGrid w:val="false"/>
              <w:spacing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В 2025 году инвестиции были вложены по следующим направлениям: строительство зданий и сооружений; приобретение машин, оборудования, транспортных средств и т. д.; на покупку земли; на закладку многолетних насаждений.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ConsPlusNormal"/>
              <w:spacing w:before="0" w:after="200"/>
              <w:jc w:val="both"/>
              <w:rPr>
                <w:rFonts w:ascii="Times New Roman" w:hAnsi="Times New Roman" w:cs="Times New Roman"/>
                <w:sz w:val="22"/>
                <w:szCs w:val="22"/>
              </w:rPr>
            </w:pPr>
            <w:r>
              <w:rPr>
                <w:rFonts w:cs="Times New Roman"/>
                <w:sz w:val="22"/>
                <w:szCs w:val="22"/>
              </w:rPr>
              <w:t xml:space="preserve">Информирование субъектов малого и среднего бизнеса округа </w:t>
              <w:br/>
              <w:t>о межрегиональных, отраслевых и проектных экспортных центрах</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w:t>
              <w:softHyphen/>
              <w:t>раны окружаю</w:t>
              <w:softHyphen/>
              <w:t>щей среды АТМО СК, отдел экономиче</w:t>
              <w:softHyphen/>
              <w:t>ского развития и закупок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amailrucssattributepostfix"/>
              <w:snapToGrid w:val="false"/>
              <w:spacing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amailrucssattributepostfix"/>
              <w:snapToGrid w:val="false"/>
              <w:spacing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Специалисты отдела сельского хозяйства и ох</w:t>
              <w:softHyphen/>
              <w:t>раны окружаю</w:t>
              <w:softHyphen/>
              <w:t>щей среды и отдела экономиче</w:t>
              <w:softHyphen/>
              <w:t>ского развития и закупок АТМО СК на постоянной основе доводят до сведения субъектов малого и среднего бизнеса округа информацию о межрегиональных, отраслевых и проектных экспортных центрах.</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ConsPlusNormal"/>
              <w:spacing w:before="0" w:after="200"/>
              <w:jc w:val="both"/>
              <w:rPr>
                <w:rFonts w:ascii="Times New Roman" w:hAnsi="Times New Roman" w:cs="Times New Roman"/>
                <w:sz w:val="22"/>
                <w:szCs w:val="22"/>
              </w:rPr>
            </w:pPr>
            <w:r>
              <w:rPr>
                <w:rFonts w:cs="Times New Roman"/>
                <w:sz w:val="22"/>
                <w:szCs w:val="22"/>
              </w:rPr>
              <w:t>Проведение работы по вовлечению в экспортную деятельность предприятий и организаций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w:t>
              <w:softHyphen/>
              <w:t>раны окружаю</w:t>
              <w:softHyphen/>
              <w:t>щей среды АТМО СК, отдел экономиче</w:t>
              <w:softHyphen/>
              <w:t>ского развития и закупок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amailrucssattributepostfix"/>
              <w:snapToGrid w:val="false"/>
              <w:spacing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amailrucssattributepostfix"/>
              <w:snapToGrid w:val="false"/>
              <w:spacing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amailrucssattributepostfix"/>
              <w:snapToGrid w:val="false"/>
              <w:spacing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Специалисты отдела сельского хозяйства и охраны окружаю</w:t>
              <w:softHyphen/>
              <w:t>щей среды и отдела экономиче</w:t>
              <w:softHyphen/>
              <w:t>ского развития и закупок АТМО СК проводят работу по вовлечению в экспортную деятельность предприятий и организаций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г)</w:t>
            </w:r>
          </w:p>
        </w:tc>
        <w:tc>
          <w:tcPr>
            <w:tcW w:w="2863" w:type="dxa"/>
            <w:tcBorders>
              <w:left w:val="single" w:sz="4" w:space="0" w:color="000000"/>
              <w:bottom w:val="single" w:sz="4" w:space="0" w:color="000000"/>
              <w:right w:val="single" w:sz="4" w:space="0" w:color="000000"/>
            </w:tcBorders>
          </w:tcPr>
          <w:p>
            <w:pPr>
              <w:pStyle w:val="ConsPlusNormal"/>
              <w:spacing w:before="0" w:after="200"/>
              <w:jc w:val="both"/>
              <w:rPr>
                <w:rFonts w:ascii="Times New Roman" w:hAnsi="Times New Roman" w:cs="Times New Roman"/>
                <w:sz w:val="22"/>
                <w:szCs w:val="22"/>
              </w:rPr>
            </w:pPr>
            <w:r>
              <w:rPr>
                <w:rFonts w:cs="Times New Roman"/>
                <w:sz w:val="22"/>
                <w:szCs w:val="22"/>
              </w:rPr>
              <w:t>Привлечение субъектов малого и среднего бизнеса округа к участию в международных выставках и ярмарках</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охраны окружаю</w:t>
              <w:softHyphen/>
              <w:t>щей среды АТМО СК, отдел экономиче</w:t>
              <w:softHyphen/>
              <w:t>ского развития и закупок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amailrucssattributepostfix"/>
              <w:snapToGrid w:val="false"/>
              <w:spacing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Специалисты отдела сельского хозяйства и охраны окружаю</w:t>
              <w:softHyphen/>
              <w:t>щей среды и отдела экономиче</w:t>
              <w:softHyphen/>
              <w:t>ского развития и закупок АТМО СК проводят работу по привлечению субъектов малого и среднего бизнеса округа к участию в международных выставках и ярмарках.</w:t>
            </w:r>
          </w:p>
        </w:tc>
      </w:tr>
      <w:tr>
        <w:trPr/>
        <w:tc>
          <w:tcPr>
            <w:tcW w:w="7192" w:type="dxa"/>
            <w:gridSpan w:val="5"/>
            <w:tcBorders>
              <w:left w:val="single" w:sz="4" w:space="0" w:color="000000"/>
              <w:bottom w:val="single" w:sz="4" w:space="0" w:color="000000"/>
              <w:right w:val="single" w:sz="4" w:space="0" w:color="000000"/>
            </w:tcBorders>
          </w:tcPr>
          <w:p>
            <w:pPr>
              <w:pStyle w:val="Normal"/>
              <w:spacing w:lineRule="auto" w:line="240" w:before="0" w:after="0"/>
              <w:jc w:val="left"/>
              <w:rPr>
                <w:rFonts w:ascii="Times New Roman" w:hAnsi="Times New Roman" w:cs="Times New Roman"/>
                <w:b/>
                <w:sz w:val="22"/>
                <w:szCs w:val="22"/>
              </w:rPr>
            </w:pPr>
            <w:r>
              <w:rPr>
                <w:rFonts w:cs="Times New Roman" w:ascii="Times New Roman" w:hAnsi="Times New Roman"/>
                <w:b/>
                <w:bCs/>
                <w:sz w:val="22"/>
                <w:szCs w:val="22"/>
              </w:rPr>
              <w:t>2.4. Инвестиционное и инновационное развитие</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Объем инвестиций в основной капитал за счет всех источников финансирования</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t>млн.рублей</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21"/>
              <w:spacing w:lineRule="auto" w:line="240" w:before="0" w:after="0"/>
              <w:ind w:hanging="0" w:left="0" w:right="-2"/>
              <w:jc w:val="both"/>
              <w:rPr/>
            </w:pPr>
            <w:r>
              <w:rPr>
                <w:rFonts w:cs="Times New Roman" w:ascii="Times New Roman" w:hAnsi="Times New Roman"/>
                <w:bCs/>
                <w:color w:val="000000"/>
                <w:sz w:val="22"/>
                <w:szCs w:val="22"/>
              </w:rPr>
              <w:t>По данным Управления Федеральной службы государственной стати</w:t>
              <w:softHyphen/>
              <w:t>стики п</w:t>
            </w:r>
            <w:r>
              <w:rPr>
                <w:rFonts w:cs="Times New Roman" w:ascii="Times New Roman" w:hAnsi="Times New Roman"/>
                <w:bCs/>
                <w:i w:val="false"/>
                <w:iCs w:val="false"/>
                <w:color w:val="000000"/>
                <w:sz w:val="22"/>
                <w:szCs w:val="22"/>
                <w:shd w:fill="FFFFFF" w:val="clear"/>
              </w:rPr>
              <w:t xml:space="preserve">о итогам  2025 года,  инвестиции в основной капитал (без субъектов малого предпринимательства и объема инвестиций, не наблюдаемых прямыми статистическими методами) составили 178,6 млн. рублей, что на 9,0% выше соответствующего периода прошлого года, в том числе за счет бюджетных средств — 103,3 млн. рублей. Удельный вес инвестиций за счет бюджетных средств в общем объеме инвестиций составил 57,8%. </w:t>
            </w:r>
            <w:r>
              <w:rPr>
                <w:rFonts w:cs="Times New Roman" w:ascii="Times New Roman" w:hAnsi="Times New Roman"/>
                <w:bCs/>
                <w:color w:val="000000"/>
                <w:sz w:val="22"/>
                <w:szCs w:val="22"/>
              </w:rPr>
              <w:t xml:space="preserve">Согласно </w:t>
            </w:r>
            <w:r>
              <w:rPr>
                <w:rFonts w:cs="Times New Roman" w:ascii="Times New Roman" w:hAnsi="Times New Roman"/>
                <w:sz w:val="22"/>
                <w:szCs w:val="22"/>
              </w:rPr>
              <w:t>учету объемов инвестиций субъектов малого предпринима</w:t>
              <w:softHyphen/>
              <w:t>тельства, сведения о которых не подлежат официальному статистическому наблюдению, м</w:t>
            </w:r>
            <w:r>
              <w:rPr>
                <w:rFonts w:cs="Times New Roman" w:ascii="Times New Roman" w:hAnsi="Times New Roman"/>
                <w:bCs/>
                <w:color w:val="000000"/>
                <w:sz w:val="22"/>
                <w:szCs w:val="22"/>
              </w:rPr>
              <w:t xml:space="preserve">алыми </w:t>
            </w:r>
            <w:r>
              <w:rPr>
                <w:rFonts w:cs="Times New Roman" w:ascii="Times New Roman" w:hAnsi="Times New Roman"/>
                <w:sz w:val="22"/>
                <w:szCs w:val="22"/>
              </w:rPr>
              <w:t xml:space="preserve">предприятиями за 2025 г. </w:t>
            </w:r>
            <w:r>
              <w:rPr>
                <w:rFonts w:cs="Times New Roman" w:ascii="Times New Roman" w:hAnsi="Times New Roman"/>
                <w:sz w:val="22"/>
                <w:szCs w:val="22"/>
                <w:shd w:fill="FFFFFF" w:val="clear"/>
              </w:rPr>
              <w:t>освоено 1,1 млрд. рублей инвестиций в основной капитал.</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2.4.1.</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Развитие малого и среднего предпринимательства, создание новых производств на территории Туркменского муниципального округа Ставрополь</w:t>
              <w:softHyphen/>
              <w:t>ского края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Улучшение организационных условий для ведения инвестиционной и предпринимательской деятельности на территории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экономического разви</w:t>
              <w:softHyphen/>
              <w:t>тия и закупок АТМО СК, от</w:t>
              <w:softHyphen/>
              <w:t>дел сельского хозяйства ох</w:t>
              <w:softHyphen/>
              <w:t>раны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Специалисты отдела сельского хозяйства и охраны окружаю</w:t>
              <w:softHyphen/>
              <w:t>щей среды и отдела экономиче</w:t>
              <w:softHyphen/>
              <w:t>ского развития и закупок АТМО СК проводят работу по улучшению организационных усло</w:t>
              <w:softHyphen/>
              <w:t>вий для ведения инвестиционной  и предпринимательской деятельно</w:t>
              <w:softHyphen/>
              <w:t>сти на территории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Оказание содействия в поддержке малого, среднего и инновационного предпринимательства и развитие механизмов муниципально-частного партнерства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«Экономиче</w:t>
              <w:softHyphen/>
              <w:t>ское развитие  и улуч</w:t>
              <w:softHyphen/>
              <w:t>шение инвестицион</w:t>
              <w:softHyphen/>
              <w:t>ного климата»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экономического разви</w:t>
              <w:softHyphen/>
              <w:t>тия и закупок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Специалисты отдела экономиче</w:t>
              <w:softHyphen/>
              <w:t>ского развития и закупок АТМО СК проводят работу по оказанию содействия в поддержке малого, среднего и инновационного предпринимательства и развитие ме</w:t>
              <w:softHyphen/>
              <w:t>ханизмов муниципально-частного партнерства.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Создание благоприятного инвестиционного климата для реализации инвестиционных проектов на терри</w:t>
              <w:softHyphen/>
              <w:t>тории округа, их административной поддержки и обеспечения беспре</w:t>
              <w:softHyphen/>
              <w:t>пятственного прохождения согласительных и разрешительных процедур при подготовке и реализации инве</w:t>
              <w:softHyphen/>
              <w:t>стиционных проектов</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Внепрограммное ме</w:t>
              <w:softHyphen/>
              <w:t>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экономического разви</w:t>
              <w:softHyphen/>
              <w:t>тия и закупок АТМО СК, от</w:t>
              <w:softHyphen/>
              <w:t>дел сельского хозяйства ох</w:t>
              <w:softHyphen/>
              <w:t>раны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Специалисты АТМО СК проводят работу по созданию благоприятного инвести</w:t>
              <w:softHyphen/>
              <w:t>ционного климата для реализации инвестиционных проектов на терри</w:t>
              <w:softHyphen/>
              <w:t>тории округа, их административной поддержки и обеспечению беспре</w:t>
              <w:softHyphen/>
              <w:t>пятственного прохождения согласи</w:t>
              <w:softHyphen/>
              <w:t>тельных и разрешительных процедур при подготовке и реализации инве</w:t>
              <w:softHyphen/>
              <w:t>стиционных проектов.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Содействие в создании новых производств на территории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«Экономиче</w:t>
              <w:softHyphen/>
              <w:t>ское развитие  и улуч</w:t>
              <w:softHyphen/>
              <w:t>шение инвестицион</w:t>
              <w:softHyphen/>
              <w:t>ного климата»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экономического разви</w:t>
              <w:softHyphen/>
              <w:t>тия и закупок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sz w:val="22"/>
                <w:szCs w:val="22"/>
                <w:shd w:fill="FFFFFF" w:val="clear"/>
                <w:lang w:eastAsia="ru-RU"/>
              </w:rPr>
              <w:t>Специалисты отдела сельского хозяйства и охраны окружаю</w:t>
              <w:softHyphen/>
              <w:t>щей среды и отдела экономиче</w:t>
              <w:softHyphen/>
              <w:t>ского развития и закупок АТМО СК оказывают с</w:t>
            </w:r>
            <w:r>
              <w:rPr>
                <w:rFonts w:eastAsia="" w:cs="Times New Roman" w:ascii="Times New Roman" w:hAnsi="Times New Roman"/>
                <w:color w:val="000000"/>
                <w:sz w:val="22"/>
                <w:szCs w:val="22"/>
                <w:shd w:fill="FFFFFF" w:val="clear"/>
                <w:lang w:eastAsia="ru-RU"/>
              </w:rPr>
              <w:t>одействие в создании новых производств на территории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д)</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Проведение мониторинга объема ин</w:t>
              <w:softHyphen/>
              <w:t>вестиций в основной капитал, а также количества реализуемых инве</w:t>
              <w:softHyphen/>
              <w:t>стиционных проектов на территории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экономического разви</w:t>
              <w:softHyphen/>
              <w:t>тия и закупок АТМО СК, от</w:t>
              <w:softHyphen/>
              <w:t>дел сельского хозяйства ох</w:t>
              <w:softHyphen/>
              <w:t>раны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Объем инвестиций в основной капитал сельского хозяйства,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млн.рублей</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shd w:fill="FFFFFF" w:val="clear"/>
              </w:rPr>
              <w:t xml:space="preserve">В 2025 году инвестиции были вложены по следующим направлениям: строительство зданий и сооружений; приобретение машин, оборудования, транспортных средств и т. д.; на покупку земли; на закладку многолетних насаждений. </w:t>
            </w:r>
            <w:r>
              <w:rPr>
                <w:rFonts w:eastAsia="" w:cs="Times New Roman" w:ascii="Times New Roman" w:hAnsi="Times New Roman"/>
                <w:sz w:val="22"/>
                <w:szCs w:val="22"/>
                <w:shd w:fill="FFFFFF" w:val="clear"/>
              </w:rPr>
              <w:t>Объем инвестиций в основной капитал сельского хозяйства за 2025 год составил 536,1 млн. рублей.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е)</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Содействие сельскохозяйственным товаропроизводителям в продвиже</w:t>
              <w:softHyphen/>
              <w:t>нии продукции на внутренние и внешние рынки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w:t>
              <w:softHyphen/>
              <w:t>раны окружаю</w:t>
              <w:softHyphen/>
              <w:t>щей среды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Произведено продук</w:t>
              <w:softHyphen/>
              <w:t>ции сельского хозяй</w:t>
              <w:softHyphen/>
              <w:t>ства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млрд. рублей</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sz w:val="22"/>
                <w:szCs w:val="22"/>
                <w:shd w:fill="FFFFFF" w:val="clear"/>
                <w:lang w:eastAsia="ru-RU"/>
              </w:rPr>
              <w:t>В 2025 году</w:t>
            </w:r>
            <w:r>
              <w:rPr>
                <w:rFonts w:cs="Times New Roman" w:ascii="Times New Roman" w:hAnsi="Times New Roman"/>
                <w:sz w:val="22"/>
                <w:szCs w:val="22"/>
                <w:shd w:fill="FFFFFF" w:val="clear"/>
                <w:lang w:eastAsia="ru-RU"/>
              </w:rPr>
              <w:t xml:space="preserve">  п</w:t>
            </w:r>
            <w:r>
              <w:rPr>
                <w:rFonts w:eastAsia="" w:cs="Times New Roman" w:ascii="Times New Roman" w:hAnsi="Times New Roman"/>
                <w:color w:val="000000"/>
                <w:sz w:val="22"/>
                <w:szCs w:val="22"/>
                <w:shd w:fill="FFFFFF" w:val="clear"/>
                <w:lang w:eastAsia="ru-RU"/>
              </w:rPr>
              <w:t>роизведено продукции сельского хозяй</w:t>
              <w:softHyphen/>
              <w:t>ства на сумму 8,625 млрд. рублей.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2.4.2.</w:t>
            </w:r>
          </w:p>
        </w:tc>
        <w:tc>
          <w:tcPr>
            <w:tcW w:w="14627" w:type="dxa"/>
            <w:gridSpan w:val="8"/>
            <w:tcBorders>
              <w:left w:val="single" w:sz="4" w:space="0" w:color="000000"/>
              <w:bottom w:val="single" w:sz="4" w:space="0" w:color="000000"/>
              <w:right w:val="single" w:sz="4" w:space="0" w:color="000000"/>
            </w:tcBorders>
          </w:tcPr>
          <w:p>
            <w:pPr>
              <w:pStyle w:val="user2"/>
              <w:widowControl/>
              <w:suppressAutoHyphens w:val="true"/>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Развитие инфраструктуры Туркменского муниципального округа Ставропольского края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Проведение монито</w:t>
              <w:softHyphen/>
              <w:t>ринга проектов  округа,  направленных на по разви</w:t>
              <w:softHyphen/>
              <w:t>тию  транспортной инфраструктуры и благоустройства сельских террито</w:t>
              <w:softHyphen/>
              <w:t>рий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охрану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реализо</w:t>
              <w:softHyphen/>
              <w:t>ванных проектов по благоустройству сельских территорий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На 2025 год проекты Туркменского муниципального округа не прошли отбор, предусмотренный министерством сельского хозяйства Российской Федерации.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Подготовка документов на участие в конкурсном отборе проектной документации  на строительство и рекон</w:t>
              <w:softHyphen/>
              <w:t>струкцию транспортной инфраструктуры сельских территорий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Государственная про</w:t>
              <w:softHyphen/>
              <w:t>грамма Ставрополь</w:t>
              <w:softHyphen/>
              <w:t>ского края «Развитие сель</w:t>
              <w:softHyphen/>
              <w:t>ского хозяй</w:t>
              <w:softHyphen/>
              <w:t>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охрану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реализо</w:t>
              <w:softHyphen/>
              <w:t>ванных проектов по развитию транспорт</w:t>
              <w:softHyphen/>
              <w:t>ной инфраструктуры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На 2025 год проекты Туркменского муниципального округа не прошли отбор, предусмотренный министерством сельского хозяйства Российской Федерации.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Подготовка документов на участие в конкурсном отборе на благоустройство сельских территорий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Государственная про</w:t>
              <w:softHyphen/>
              <w:t>грамма Ставрополь</w:t>
              <w:softHyphen/>
              <w:t>ского края «Развитие сель</w:t>
              <w:softHyphen/>
              <w:t>ского хозяй</w:t>
              <w:softHyphen/>
              <w:t>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охрану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реализо</w:t>
              <w:softHyphen/>
              <w:t>ванных проектов по благоустройству сельских территорий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На 2025 год проекты Туркменского муниципального округа не прошли отбор, предусмотренный министерством сельского хозяйства Российской Федерации.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г)</w:t>
            </w:r>
          </w:p>
        </w:tc>
        <w:tc>
          <w:tcPr>
            <w:tcW w:w="2863" w:type="dxa"/>
            <w:tcBorders>
              <w:left w:val="single" w:sz="4" w:space="0" w:color="000000"/>
              <w:bottom w:val="single" w:sz="4" w:space="0" w:color="000000"/>
              <w:right w:val="single" w:sz="4" w:space="0" w:color="000000"/>
            </w:tcBorders>
          </w:tcPr>
          <w:p>
            <w:pPr>
              <w:pStyle w:val="user2"/>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Содействие в осуществлении строительства и обновлении основных производственных фондов и комму</w:t>
              <w:softHyphen/>
              <w:t>нальной инфраструктуры</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Муниципальная про</w:t>
              <w:softHyphen/>
              <w:t>грамма «Развитие жилищно-коммунального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Управление муниципального хозяйства, транспорта, до</w:t>
              <w:softHyphen/>
              <w:t>рожной деятельности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lang w:eastAsia="ru-RU"/>
              </w:rPr>
              <w:t>Специалисты управления муниципального хозяйства, транспорта, до</w:t>
              <w:softHyphen/>
              <w:t>рожной деятельности АТМО СК оказывают с</w:t>
            </w:r>
            <w:r>
              <w:rPr>
                <w:rFonts w:eastAsia="" w:cs="Times New Roman" w:ascii="Times New Roman" w:hAnsi="Times New Roman"/>
                <w:color w:val="000000"/>
                <w:sz w:val="22"/>
                <w:szCs w:val="22"/>
                <w:shd w:fill="auto" w:val="clear"/>
                <w:lang w:eastAsia="ru-RU"/>
              </w:rPr>
              <w:t>одействие в осуществлении строи</w:t>
              <w:softHyphen/>
              <w:t>тельства и обновлении основных производственных фондов и комму</w:t>
              <w:softHyphen/>
              <w:t>нальной инфраструктуры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2.4.3.</w:t>
            </w:r>
          </w:p>
        </w:tc>
        <w:tc>
          <w:tcPr>
            <w:tcW w:w="14627" w:type="dxa"/>
            <w:gridSpan w:val="8"/>
            <w:tcBorders>
              <w:left w:val="single" w:sz="4" w:space="0" w:color="000000"/>
              <w:bottom w:val="single" w:sz="4" w:space="0" w:color="000000"/>
              <w:right w:val="single" w:sz="4" w:space="0" w:color="000000"/>
            </w:tcBorders>
          </w:tcPr>
          <w:p>
            <w:pPr>
              <w:pStyle w:val="user2"/>
              <w:widowControl/>
              <w:suppressAutoHyphens w:val="true"/>
              <w:spacing w:lineRule="auto" w:line="240" w:before="0" w:after="0"/>
              <w:jc w:val="both"/>
              <w:rPr>
                <w:highlight w:val="none"/>
                <w:shd w:fill="auto" w:val="clear"/>
              </w:rPr>
            </w:pPr>
            <w:r>
              <w:rPr>
                <w:rFonts w:eastAsia="" w:cs="Times New Roman" w:ascii="Times New Roman" w:hAnsi="Times New Roman"/>
                <w:sz w:val="22"/>
                <w:szCs w:val="22"/>
                <w:shd w:fill="auto" w:val="clear"/>
                <w:lang w:eastAsia="ru-RU"/>
              </w:rPr>
              <w:t xml:space="preserve">Оказание содействия в реализации приоритетных инвестиционных и инновационных проектов по принципу «одного окна» </w:t>
              <w:br/>
              <w:t>в округе.</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а)</w:t>
            </w:r>
          </w:p>
        </w:tc>
        <w:tc>
          <w:tcPr>
            <w:tcW w:w="2863" w:type="dxa"/>
            <w:tcBorders>
              <w:left w:val="single" w:sz="4" w:space="0" w:color="000000"/>
              <w:bottom w:val="single" w:sz="4" w:space="0" w:color="000000"/>
              <w:right w:val="single" w:sz="4" w:space="0" w:color="000000"/>
            </w:tcBorders>
          </w:tcPr>
          <w:p>
            <w:pPr>
              <w:pStyle w:val="user2"/>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Поддержка в актуальном состоянии базы данных инвестиционных пред</w:t>
              <w:softHyphen/>
              <w:t>ложений, проектов, реализуемых и (или) планируемых к реализации на территории округа и инвестицион</w:t>
              <w:softHyphen/>
              <w:t>ных площадок</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экономического разви</w:t>
              <w:softHyphen/>
              <w:t>тия и закупок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lang w:eastAsia="ru-RU"/>
              </w:rPr>
              <w:t>Специалисты отдела экономиче</w:t>
              <w:softHyphen/>
              <w:t>ского развития и закупок АТМО СК поддерживают в актуальном состоянии базу данных инвестиционных пред</w:t>
              <w:softHyphen/>
              <w:t>ложений, проектов, реализуемых и (или) планируемых к реализации на территории округа и инвестицион</w:t>
              <w:softHyphen/>
              <w:t>ных площадок.</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б)</w:t>
            </w:r>
          </w:p>
        </w:tc>
        <w:tc>
          <w:tcPr>
            <w:tcW w:w="2863" w:type="dxa"/>
            <w:tcBorders>
              <w:left w:val="single" w:sz="4" w:space="0" w:color="000000"/>
              <w:bottom w:val="single" w:sz="4" w:space="0" w:color="000000"/>
              <w:right w:val="single" w:sz="4" w:space="0" w:color="000000"/>
            </w:tcBorders>
          </w:tcPr>
          <w:p>
            <w:pPr>
              <w:pStyle w:val="user2"/>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Организация системы информирования потенциальных инвесторов о возможностях получения конкрет</w:t>
              <w:softHyphen/>
              <w:t>ных преференций при направлении инвестиций на территории округа, существующих мерах государственной и муниципальной поддержки, программах льготного кредитования, в том числе посредством размеще</w:t>
              <w:softHyphen/>
              <w:t>ния соответствующей информации на официальном сайте администрации округа и проведения обучающих семинаров</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экономического разви</w:t>
              <w:softHyphen/>
              <w:t>тия и закупок АТМО СК, от</w:t>
              <w:softHyphen/>
              <w:t>дел сельского хозяйства и ох</w:t>
              <w:softHyphen/>
              <w:t>раны окружающей среды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Доводится информация до сельскохозяйственных товаропроизводителей о проведении совещаний, семинаров и обучении с банками, фондами микрофинансирования, производителями удобрений, средств защиты, продавцами сельскохозяйственной техники и т.д.</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Оказание методической и консультационной помощи по вопросам осуществления инвестиционной дея</w:t>
              <w:softHyphen/>
              <w:t>тельности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экономического разви</w:t>
              <w:softHyphen/>
              <w:t>тия и закупок АТМО СК, от</w:t>
              <w:softHyphen/>
              <w:t>дел сельского хозяйства и ох</w:t>
              <w:softHyphen/>
              <w:t>раны окружающей среды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r>
          </w:p>
          <w:p>
            <w:pPr>
              <w:pStyle w:val="Normal"/>
              <w:snapToGrid w:val="false"/>
              <w:spacing w:lineRule="auto" w:line="240" w:before="0" w:after="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r>
          </w:p>
          <w:p>
            <w:pPr>
              <w:pStyle w:val="Normal"/>
              <w:snapToGrid w:val="false"/>
              <w:spacing w:lineRule="auto" w:line="240" w:before="0" w:after="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auto" w:val="clear"/>
              </w:rPr>
            </w:pPr>
            <w:r>
              <w:rPr>
                <w:rFonts w:eastAsia="" w:cs="Times New Roman" w:ascii="Times New Roman" w:hAnsi="Times New Roman"/>
                <w:sz w:val="22"/>
                <w:szCs w:val="22"/>
                <w:shd w:fill="auto" w:val="clear"/>
              </w:rPr>
            </w:r>
          </w:p>
          <w:p>
            <w:pPr>
              <w:pStyle w:val="Normal"/>
              <w:spacing w:lineRule="auto" w:line="240" w:before="0" w:after="0"/>
              <w:jc w:val="center"/>
              <w:rPr>
                <w:rFonts w:ascii="Times New Roman" w:hAnsi="Times New Roman" w:eastAsia="" w:cs="Times New Roman"/>
                <w:sz w:val="22"/>
                <w:szCs w:val="22"/>
                <w:shd w:fill="auto" w:val="clear"/>
              </w:rPr>
            </w:pPr>
            <w:r>
              <w:rPr>
                <w:rFonts w:eastAsia="" w:cs="Times New Roman" w:ascii="Times New Roman" w:hAnsi="Times New Roman"/>
                <w:sz w:val="22"/>
                <w:szCs w:val="22"/>
                <w:shd w:fill="auto" w:val="clear"/>
              </w:rPr>
            </w:r>
          </w:p>
          <w:p>
            <w:pPr>
              <w:pStyle w:val="Normal"/>
              <w:spacing w:lineRule="auto" w:line="240" w:before="0" w:after="0"/>
              <w:jc w:val="center"/>
              <w:rPr>
                <w:rFonts w:ascii="Times New Roman" w:hAnsi="Times New Roman" w:eastAsia="" w:cs="Times New Roman"/>
                <w:sz w:val="22"/>
                <w:szCs w:val="22"/>
                <w:shd w:fill="auto" w:val="clear"/>
              </w:rPr>
            </w:pPr>
            <w:r>
              <w:rPr>
                <w:rFonts w:eastAsia="" w:cs="Times New Roman" w:ascii="Times New Roman" w:hAnsi="Times New Roman"/>
                <w:sz w:val="22"/>
                <w:szCs w:val="22"/>
                <w:shd w:fill="auto"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auto" w:val="clear"/>
                <w:lang w:eastAsia="ru-RU"/>
              </w:rPr>
            </w:pPr>
            <w:r>
              <w:rPr>
                <w:rFonts w:eastAsia="" w:cs="Times New Roman" w:ascii="Times New Roman" w:hAnsi="Times New Roman"/>
                <w:sz w:val="22"/>
                <w:szCs w:val="22"/>
                <w:shd w:fill="auto" w:val="clear"/>
                <w:lang w:eastAsia="ru-RU"/>
              </w:rPr>
              <w:t>Специалисты отдела экономиче</w:t>
              <w:softHyphen/>
              <w:t>ского развития и закупок, отдела сельского хозяйства и охраны окружающей среды АТМО СК оказывают методическую и консуль</w:t>
              <w:softHyphen/>
              <w:t>тационную помощь по вопросам осуществления инвестиционной дея</w:t>
              <w:softHyphen/>
              <w:t>тельности.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Закладка садов суперинтенсивного типа в личных подсобных хозяйствах Туркменского муниципального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Муниципальная про</w:t>
              <w:softHyphen/>
              <w:t>грамма «Раз</w:t>
              <w:softHyphen/>
              <w:t>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ЛПХ, отдел сельского хозяй</w:t>
              <w:softHyphen/>
              <w:t>ства и охраны окружающей среды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Площадь закладки садов суперинтесив</w:t>
              <w:softHyphen/>
              <w:t>ного типа</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r>
          </w:p>
          <w:p>
            <w:pPr>
              <w:pStyle w:val="Normal"/>
              <w:spacing w:lineRule="auto" w:line="240" w:before="0" w:after="0"/>
              <w:jc w:val="center"/>
              <w:rPr>
                <w:rFonts w:ascii="Times New Roman" w:hAnsi="Times New Roman" w:eastAsia="" w:cs="Times New Roman"/>
                <w:sz w:val="22"/>
                <w:szCs w:val="22"/>
                <w:shd w:fill="auto" w:val="clear"/>
              </w:rPr>
            </w:pPr>
            <w:r>
              <w:rPr>
                <w:rFonts w:eastAsia="" w:cs="Times New Roman" w:ascii="Times New Roman" w:hAnsi="Times New Roman"/>
                <w:sz w:val="22"/>
                <w:szCs w:val="22"/>
                <w:shd w:fill="auto" w:val="clear"/>
              </w:rPr>
              <w:t>га</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Всего в 2025 году заложено 20 садов.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2.4.4.</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Создание благоприятных условий для модернизации основных производственных фондов и диверсификации экономики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Организация и обеспечение участия сельскохозяйственных товаропроиз</w:t>
              <w:softHyphen/>
              <w:t>водителей в  мероприятиях, способ</w:t>
              <w:softHyphen/>
              <w:t>ствующих  продвижению товаров, работ и услуг как на территории так и за пределы Туркменского округа и Ставропольского края в целях по</w:t>
              <w:softHyphen/>
              <w:t>вышения имиджа Туркменского му</w:t>
              <w:softHyphen/>
              <w:t>ниципального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Отдел сельского хозяйства и охраны окружающей среды АТМО СК, сельскохозяйст</w:t>
              <w:softHyphen/>
              <w:t>венные товаропроизводители округа</w:t>
            </w:r>
          </w:p>
        </w:tc>
        <w:tc>
          <w:tcPr>
            <w:tcW w:w="234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2"/>
                <w:szCs w:val="22"/>
                <w:shd w:fill="FFFFFF" w:val="clear"/>
              </w:rPr>
            </w:pPr>
            <w:r>
              <w:rPr>
                <w:rFonts w:cs="Times New Roman" w:ascii="Times New Roman" w:hAnsi="Times New Roman"/>
                <w:color w:val="000000"/>
                <w:sz w:val="22"/>
                <w:szCs w:val="22"/>
                <w:shd w:fill="FFFFFF" w:val="clear"/>
              </w:rPr>
              <w:t>Прирост компаний-экспортеров из числа МСП по итогам вне</w:t>
              <w:softHyphen/>
              <w:t>дрения Региональ</w:t>
              <w:softHyphen/>
              <w:t>ного экспортного стандарта 2.0.</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p>
            <w:pPr>
              <w:pStyle w:val="Normal"/>
              <w:spacing w:lineRule="auto" w:line="240" w:before="0" w:after="0"/>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2"/>
                <w:szCs w:val="22"/>
                <w:shd w:fill="FFFFFF" w:val="clear"/>
              </w:rPr>
            </w:pPr>
            <w:r>
              <w:rPr>
                <w:rFonts w:cs="Times New Roman" w:ascii="Times New Roman" w:hAnsi="Times New Roman"/>
                <w:color w:val="000000"/>
                <w:sz w:val="22"/>
                <w:szCs w:val="22"/>
                <w:shd w:fill="FFFFFF" w:val="clear"/>
              </w:rPr>
              <w:t>Компании-экспортеры из числа МСП по итогам вне</w:t>
              <w:softHyphen/>
              <w:t>дрения Региональ</w:t>
              <w:softHyphen/>
              <w:t>ного экспортного стандарта 2.0 на территории округа отсутствуют.</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2.4.5.</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Развитие системы взаимодействия органов местного самоуправления округа с частными партнерами и экспертным сообществом по вопросам реали</w:t>
              <w:softHyphen/>
              <w:t>зации инвестиционных проектов, в том числе проектов муниципально-частного партнерства и концессионных соглашений.</w:t>
            </w:r>
          </w:p>
        </w:tc>
      </w:tr>
      <w:tr>
        <w:trPr>
          <w:trHeight w:val="741" w:hRule="atLeast"/>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user2"/>
              <w:widowControl/>
              <w:suppressAutoHyphens w:val="true"/>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Содействие для заключения проектов муниципально-частного партнерства и (или)  концессионных соглашений с субъектами предпринимательства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w:t>
              <w:softHyphen/>
              <w:t>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Отдел экономического разви</w:t>
              <w:softHyphen/>
              <w:t>тия и закупок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user2"/>
              <w:widowControl/>
              <w:suppressAutoHyphens w:val="true"/>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В 2025 году проекты МЧП и концессионные соглашения с субъектами предпринимательства не заключались.</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2.4.6.</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Содействие в привлечении финансовых ресурсов для реализации инвестиционных проектов на территории округа, развитие деловых контактов с фи</w:t>
              <w:softHyphen/>
              <w:t>нансово-кредитными институтами и институтами развития.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Содействие в организации взаимо</w:t>
              <w:softHyphen/>
              <w:t>действия с сельскохозяйственными товаропроизводителями с целью использования их потенциала и воз</w:t>
              <w:softHyphen/>
              <w:t>можностей по финансированию и поддержки инвестиционных вложе</w:t>
              <w:softHyphen/>
              <w:t>ний на территории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охрану окружающей среды АТМО СК; отдел экономиче</w:t>
              <w:softHyphen/>
              <w:t>ского развития и закупок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Обеспечено взаимодействие между сельскохозяйственными товаропроизводителями и администрацией округа в целях обеспечения реализации проектов комплексного развития сельских территорий и их благоустройства.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2.4.7.</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cs="Times New Roman" w:ascii="Times New Roman" w:hAnsi="Times New Roman"/>
                <w:sz w:val="22"/>
                <w:szCs w:val="22"/>
                <w:shd w:fill="auto" w:val="clear"/>
              </w:rPr>
              <w:t>Создание позитивного инвестиционного имиджа</w:t>
            </w:r>
            <w:r>
              <w:rPr>
                <w:rFonts w:cs="Times New Roman" w:ascii="Times New Roman" w:hAnsi="Times New Roman"/>
                <w:color w:val="000000"/>
                <w:sz w:val="22"/>
                <w:szCs w:val="22"/>
                <w:shd w:fill="auto" w:val="clear"/>
              </w:rPr>
              <w:t xml:space="preserve"> Туркменского муниципального округа Ставропольского края. </w:t>
            </w:r>
            <w:r>
              <w:rPr>
                <w:rFonts w:cs="Times New Roman" w:ascii="Times New Roman" w:hAnsi="Times New Roman"/>
                <w:sz w:val="22"/>
                <w:szCs w:val="22"/>
                <w:shd w:fill="auto" w:val="clear"/>
              </w:rPr>
              <w:t>Целевое позиционирование инвести</w:t>
              <w:softHyphen/>
              <w:t>ционного потенциала округа, в том числе посредством участия в инвестиционных форумах, выставках, ярмарках и иных мероприятиях</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cs="Times New Roman" w:ascii="Times New Roman" w:hAnsi="Times New Roman"/>
                <w:sz w:val="22"/>
                <w:szCs w:val="22"/>
                <w:shd w:fill="auto" w:val="clear"/>
              </w:rPr>
              <w:t>Привлечение предпринимателей, осуществляющих деятельность на территории округа, для участия в инвестиционных форумах, выставках, ярмарках и других аналогичных мероприятиях различных уровней</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lang w:eastAsia="ru-RU"/>
              </w:rPr>
              <w:t>Муниципальная про</w:t>
              <w:softHyphen/>
              <w:t>грамма «Раз</w:t>
              <w:softHyphen/>
              <w:t>витие сельского хозяйства», муниципальная про</w:t>
              <w:softHyphen/>
              <w:t>грамма «Экономиче</w:t>
              <w:softHyphen/>
              <w:t>ское развитие  и улуч</w:t>
              <w:softHyphen/>
              <w:t>шение инвестицион</w:t>
              <w:softHyphen/>
              <w:t>ного климата»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rPr>
              <w:t>Отдел сельского хозяйства и охрану окружающей среды АТМО СК; отдел экономиче</w:t>
              <w:softHyphen/>
              <w:t>ского развития и закупок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snapToGrid w:val="false"/>
              <w:spacing w:lineRule="auto" w:line="240" w:before="0" w:after="0"/>
              <w:jc w:val="center"/>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snapToGrid w:val="false"/>
              <w:spacing w:lineRule="auto" w:line="240" w:before="0" w:after="0"/>
              <w:jc w:val="center"/>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snapToGrid w:val="false"/>
              <w:spacing w:lineRule="auto" w:line="240" w:before="0" w:after="0"/>
              <w:jc w:val="center"/>
              <w:rPr>
                <w:highlight w:val="none"/>
                <w:shd w:fill="auto" w:val="clear"/>
              </w:rPr>
            </w:pPr>
            <w:r>
              <w:rPr>
                <w:rFonts w:cs="Times New Roman" w:ascii="Times New Roman" w:hAnsi="Times New Roman"/>
                <w:sz w:val="22"/>
                <w:szCs w:val="22"/>
                <w:shd w:fill="auto"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snapToGrid w:val="false"/>
              <w:spacing w:lineRule="auto" w:line="240" w:before="0" w:after="0"/>
              <w:jc w:val="center"/>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snapToGrid w:val="false"/>
              <w:spacing w:lineRule="auto" w:line="240" w:before="0" w:after="0"/>
              <w:jc w:val="center"/>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snapToGrid w:val="false"/>
              <w:spacing w:lineRule="auto" w:line="240" w:before="0" w:after="0"/>
              <w:jc w:val="center"/>
              <w:rPr>
                <w:highlight w:val="none"/>
                <w:shd w:fill="auto" w:val="clear"/>
              </w:rPr>
            </w:pPr>
            <w:r>
              <w:rPr>
                <w:rFonts w:cs="Times New Roman" w:ascii="Times New Roman" w:hAnsi="Times New Roman"/>
                <w:sz w:val="22"/>
                <w:szCs w:val="22"/>
                <w:shd w:fill="auto"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highlight w:val="none"/>
                <w:shd w:fill="auto" w:val="clear"/>
              </w:rPr>
            </w:pPr>
            <w:r>
              <w:rPr>
                <w:rFonts w:eastAsia="" w:cs="Times New Roman" w:ascii="Times New Roman" w:hAnsi="Times New Roman"/>
                <w:sz w:val="22"/>
                <w:szCs w:val="22"/>
                <w:shd w:fill="auto" w:val="clear"/>
              </w:rPr>
            </w:r>
          </w:p>
          <w:p>
            <w:pPr>
              <w:pStyle w:val="Normal"/>
              <w:snapToGrid w:val="false"/>
              <w:spacing w:lineRule="auto" w:line="240" w:before="0" w:after="0"/>
              <w:jc w:val="center"/>
              <w:rPr>
                <w:rFonts w:ascii="Times New Roman" w:hAnsi="Times New Roman" w:eastAsia="" w:cs="Times New Roman"/>
                <w:sz w:val="22"/>
                <w:szCs w:val="22"/>
                <w:highlight w:val="none"/>
                <w:shd w:fill="auto" w:val="clear"/>
              </w:rPr>
            </w:pPr>
            <w:r>
              <w:rPr>
                <w:rFonts w:eastAsia="" w:cs="Times New Roman" w:ascii="Times New Roman" w:hAnsi="Times New Roman"/>
                <w:sz w:val="22"/>
                <w:szCs w:val="22"/>
                <w:shd w:fill="auto" w:val="clear"/>
              </w:rPr>
            </w:r>
          </w:p>
          <w:p>
            <w:pPr>
              <w:pStyle w:val="Normal"/>
              <w:snapToGrid w:val="false"/>
              <w:spacing w:lineRule="auto" w:line="240" w:before="0" w:after="0"/>
              <w:jc w:val="center"/>
              <w:rPr>
                <w:rFonts w:ascii="Times New Roman" w:hAnsi="Times New Roman" w:eastAsia="" w:cs="Times New Roman"/>
                <w:sz w:val="22"/>
                <w:szCs w:val="22"/>
                <w:highlight w:val="none"/>
                <w:shd w:fill="auto" w:val="clear"/>
              </w:rPr>
            </w:pPr>
            <w:r>
              <w:rPr>
                <w:rFonts w:eastAsia="" w:cs="Times New Roman" w:ascii="Times New Roman" w:hAnsi="Times New Roman"/>
                <w:sz w:val="22"/>
                <w:szCs w:val="22"/>
                <w:shd w:fill="auto" w:val="clear"/>
              </w:rPr>
            </w:r>
          </w:p>
          <w:p>
            <w:pPr>
              <w:pStyle w:val="Normal"/>
              <w:snapToGrid w:val="false"/>
              <w:spacing w:lineRule="auto" w:line="240" w:before="0" w:after="0"/>
              <w:jc w:val="center"/>
              <w:rPr>
                <w:highlight w:val="none"/>
                <w:shd w:fill="auto" w:val="clear"/>
              </w:rPr>
            </w:pPr>
            <w:r>
              <w:rPr>
                <w:rFonts w:eastAsia="" w:cs="Times New Roman" w:ascii="Times New Roman" w:hAnsi="Times New Roman"/>
                <w:sz w:val="22"/>
                <w:szCs w:val="22"/>
                <w:shd w:fill="auto"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highlight w:val="none"/>
                <w:shd w:fill="auto" w:val="clear"/>
              </w:rPr>
            </w:pPr>
            <w:r>
              <w:rPr>
                <w:rFonts w:cs="Times New Roman" w:ascii="Times New Roman" w:hAnsi="Times New Roman"/>
                <w:sz w:val="22"/>
                <w:szCs w:val="22"/>
                <w:shd w:fill="auto" w:val="clear"/>
              </w:rPr>
              <w:t>Специалисты о</w:t>
            </w:r>
            <w:r>
              <w:rPr>
                <w:rFonts w:eastAsia="" w:cs="Times New Roman" w:ascii="Times New Roman" w:hAnsi="Times New Roman"/>
                <w:sz w:val="22"/>
                <w:szCs w:val="22"/>
                <w:shd w:fill="auto" w:val="clear"/>
              </w:rPr>
              <w:t>тдела сельского хозяйства и охрану окружающей среды АТМО СК и отдела экономиче</w:t>
              <w:softHyphen/>
              <w:t>ского развития и закупок АТМО СК проводят работу по привлечению предпринимателей, осуществляющих деятельность на территории округа, для участия в инвестиционных форумах, выставках, ярмарках и других аналогичных мероприятиях различных уровней.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user2"/>
              <w:widowControl/>
              <w:suppressAutoHyphens w:val="true"/>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Организация и обеспечение участия сельхозтоваропроизводителей округа, а также подворья  в выставке-ярмарке «Урожай 2025»</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охрана окружающей среды  АТМО СК, управление куль</w:t>
              <w:softHyphen/>
              <w:t>туры АТМО СК, сельскохо</w:t>
              <w:softHyphen/>
              <w:t>зяйственные товаропроизво</w:t>
              <w:softHyphen/>
              <w:t>дители округа</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 2025 году участие в выставке — ярмарке «Урожай 2025» принимали сельскохозяйственные товаропроизводители, отдел сельского хозяйства и охраны окружающей среды АТМО СК и ЦКИД с. Казгулак.</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 )</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Организация и проведение  и поощрение победителей соревнований в агропромышленном комплексе Туркменского муниципального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w:t>
              <w:softHyphen/>
              <w:t>раны окружаю</w:t>
              <w:softHyphen/>
              <w:t>щей среды АТМО СК, главы КФХ, руко</w:t>
              <w:softHyphen/>
              <w:t>водители сельхозпредприятий</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Расходы на проведе</w:t>
              <w:softHyphen/>
              <w:t>ние соревнований в агропромышленном комплексе Туркмен</w:t>
              <w:softHyphen/>
              <w:t>ского муниципаль</w:t>
              <w:softHyphen/>
              <w:t>ного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тыс. руб.</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BodyText21"/>
              <w:widowControl w:val="false"/>
              <w:suppressAutoHyphens w:val="false"/>
              <w:bidi w:val="0"/>
              <w:spacing w:lineRule="auto" w:line="240" w:before="0" w:after="0"/>
              <w:ind w:hanging="57" w:right="113"/>
              <w:contextualSpacing/>
              <w:jc w:val="both"/>
              <w:rPr/>
            </w:pPr>
            <w:r>
              <w:rPr>
                <w:rFonts w:cs="Times New Roman" w:ascii="Times New Roman" w:hAnsi="Times New Roman"/>
                <w:sz w:val="22"/>
                <w:szCs w:val="22"/>
              </w:rPr>
              <w:t xml:space="preserve">Все денежные средства затрачены на поощрение работников сельского хозяйства по итогам проведения соревнований в агропромышленном комплексе Туркменского муниципального округа. </w:t>
            </w:r>
            <w:r>
              <w:rPr>
                <w:rFonts w:eastAsia="" w:cs="Times New Roman" w:ascii="Times New Roman" w:hAnsi="Times New Roman"/>
                <w:sz w:val="22"/>
                <w:szCs w:val="22"/>
                <w:shd w:fill="auto" w:val="clear"/>
              </w:rPr>
              <w:t>Расходы на проведе</w:t>
              <w:softHyphen/>
              <w:t>ние соревнований в агропромышленном комплексе Туркмен</w:t>
              <w:softHyphen/>
              <w:t>ского муниципаль</w:t>
              <w:softHyphen/>
              <w:t xml:space="preserve">ного округа составили </w:t>
            </w:r>
            <w:r>
              <w:rPr>
                <w:rFonts w:cs="Times New Roman" w:ascii="Times New Roman" w:hAnsi="Times New Roman"/>
                <w:sz w:val="22"/>
                <w:szCs w:val="22"/>
                <w:shd w:fill="auto" w:val="clear"/>
              </w:rPr>
              <w:t>176,96 тыс. рублей.</w:t>
            </w:r>
          </w:p>
        </w:tc>
      </w:tr>
      <w:tr>
        <w:trPr/>
        <w:tc>
          <w:tcPr>
            <w:tcW w:w="7192" w:type="dxa"/>
            <w:gridSpan w:val="5"/>
            <w:vMerge w:val="restart"/>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b/>
                <w:bCs/>
              </w:rPr>
            </w:pPr>
            <w:r>
              <w:rPr>
                <w:rFonts w:cs="Times New Roman" w:ascii="Times New Roman" w:hAnsi="Times New Roman"/>
                <w:b/>
                <w:bCs/>
                <w:sz w:val="22"/>
                <w:szCs w:val="22"/>
              </w:rPr>
              <w:t>2.5. Развитие малого и среднего предпринимательства</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Численность занятых в сфере малого и среднего предприни</w:t>
              <w:softHyphen/>
              <w:t>мательства, включая индивидуальных предпринимателей,</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человек</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color w:val="000000"/>
                <w:sz w:val="22"/>
                <w:szCs w:val="22"/>
                <w:lang w:eastAsia="ru-RU"/>
              </w:rPr>
              <w:t>Численность занятых в сфере малого и среднего предприни</w:t>
              <w:softHyphen/>
              <w:t>мательства, включая индивидуаль</w:t>
              <w:softHyphen/>
              <w:t>ных предпринимателей 3588</w:t>
            </w:r>
            <w:r>
              <w:rPr>
                <w:rFonts w:cs="Times New Roman" w:ascii="Times New Roman" w:hAnsi="Times New Roman"/>
                <w:color w:val="000000"/>
                <w:sz w:val="22"/>
                <w:szCs w:val="22"/>
                <w:shd w:fill="FFFFFF" w:val="clear"/>
                <w:lang w:eastAsia="ru-RU"/>
              </w:rPr>
              <w:t xml:space="preserve"> человек.</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b/>
                <w:sz w:val="24"/>
                <w:szCs w:val="24"/>
                <w:lang w:eastAsia="ru-RU"/>
              </w:rPr>
            </w:pPr>
            <w:r>
              <w:rPr>
                <w:rFonts w:eastAsia="" w:cs="Times New Roman" w:ascii="Times New Roman" w:hAnsi="Times New Roman"/>
                <w:b/>
                <w:sz w:val="24"/>
                <w:szCs w:val="24"/>
                <w:lang w:eastAsia="ru-RU"/>
              </w:rPr>
            </w:r>
          </w:p>
        </w:tc>
        <w:tc>
          <w:tcPr>
            <w:tcW w:w="234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Доля среднесписоч</w:t>
              <w:softHyphen/>
              <w:t>ной численности ра</w:t>
              <w:softHyphen/>
              <w:t>ботников (без внеш</w:t>
              <w:softHyphen/>
              <w:t>них совместителей) малых и средних предприятий в сред</w:t>
              <w:softHyphen/>
              <w:t>несписочной числен</w:t>
              <w:softHyphen/>
              <w:t>ности работников (без внешних совмес</w:t>
              <w:softHyphen/>
              <w:t>тителей) всех пред</w:t>
              <w:softHyphen/>
              <w:t>приятий и организа</w:t>
              <w:softHyphen/>
              <w:t>ций,</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процент</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Доля среднесписоч</w:t>
              <w:softHyphen/>
              <w:t>ной численности ра</w:t>
              <w:softHyphen/>
              <w:t>ботников (без внешних совместителей) малых и средних предприятий в сред</w:t>
              <w:softHyphen/>
              <w:t>несписочной числен</w:t>
              <w:softHyphen/>
              <w:t>ности работников (без внешних совмес</w:t>
              <w:softHyphen/>
              <w:t>тителей) всех предприятий и организа</w:t>
              <w:softHyphen/>
              <w:t>ций 13,8%.</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2.5.1.</w:t>
            </w:r>
          </w:p>
        </w:tc>
        <w:tc>
          <w:tcPr>
            <w:tcW w:w="11058" w:type="dxa"/>
            <w:gridSpan w:val="7"/>
            <w:tcBorders>
              <w:left w:val="single" w:sz="4" w:space="0" w:color="000000"/>
              <w:bottom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Содействие активизации предпринимательской деятельности, самозанятости населения.</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Проведение оценки регулирующего воздействия проектов муниципальных нормативных правовых актов округа по вопросам предпринимательской и инвестиционной деятельности и их экспертизы</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экономического разви</w:t>
              <w:softHyphen/>
              <w:t>тия и закупок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rPr>
              <w:t>За 2025 год проведена оценка регулирующего воздействия 2 проек</w:t>
            </w:r>
            <w:r>
              <w:rPr>
                <w:rFonts w:cs="Times New Roman" w:ascii="Times New Roman" w:hAnsi="Times New Roman"/>
                <w:sz w:val="22"/>
                <w:szCs w:val="22"/>
                <w:shd w:fill="FFFFFF" w:val="clear"/>
              </w:rPr>
              <w:t>тов муницип</w:t>
            </w:r>
            <w:r>
              <w:rPr>
                <w:rFonts w:cs="Times New Roman" w:ascii="Times New Roman" w:hAnsi="Times New Roman"/>
                <w:sz w:val="22"/>
                <w:szCs w:val="22"/>
              </w:rPr>
              <w:t>альных нормативных правовых актов округа по вопросам предпринимательской и инвестиционной деятельности и их экспертизы.</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Обеспечение сотрудничества предпринимательства с инфраструктурой поддержки субъектов малого и сред</w:t>
              <w:softHyphen/>
              <w:t>него предпринимательства Ставро</w:t>
              <w:softHyphen/>
              <w:t>польского края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экономического разви</w:t>
              <w:softHyphen/>
              <w:t>тия и закупок АТМО СК, от</w:t>
              <w:softHyphen/>
              <w:t>дел сельского хозяйства и ох</w:t>
              <w:softHyphen/>
              <w:t>раны окружающей среды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ind w:right="0"/>
              <w:contextualSpacing/>
              <w:jc w:val="both"/>
              <w:rPr>
                <w:rFonts w:ascii="Times New Roman" w:hAnsi="Times New Roman" w:cs="Times New Roman"/>
                <w:sz w:val="22"/>
                <w:szCs w:val="22"/>
              </w:rPr>
            </w:pPr>
            <w:r>
              <w:rPr>
                <w:rFonts w:cs="Times New Roman" w:ascii="Times New Roman" w:hAnsi="Times New Roman"/>
                <w:sz w:val="22"/>
                <w:szCs w:val="22"/>
              </w:rPr>
              <w:t>Подготовлены и проведены семинары-совещания с участием представителей министерств края, руководителей организаций образующих инфраструктуру поддержки субъектов малого и среднего предпринимательства, начальников территориальных управлений, отделов и управлений АТМО СК,  руководителей организаций различных форм собственности, индивидуальных предпринимателей и глав КФХ. За 2025 год проведено 2 совещания.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Информирование населения о воз</w:t>
              <w:softHyphen/>
              <w:t>можности обучения в образователь</w:t>
              <w:softHyphen/>
              <w:t>ном проекте «Школа фермера»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охраны окружающей среды АТМО СК, сельскохозяйст</w:t>
              <w:softHyphen/>
              <w:t>венные товаропроизводители и население округа</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Вся соответствующая информация доводится до населения путем размещения на сайте, в социальных сетях и средствах массовой информации.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Информирование населения о воз</w:t>
              <w:softHyphen/>
              <w:t>можности участия в программах по созданию и развитию   крестьянского фермерского хозяйства грант «Агростартап», ВЦП «Развитие семейных животноводческих ферм на базе крестьянских (фермерских) хо</w:t>
              <w:softHyphen/>
              <w:t>зяйств в Ставропольском крае»</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Отдел сельского хозяйства и охраны окружающей среды АТМО СК; сельскохозяйст</w:t>
              <w:softHyphen/>
              <w:t>венные товаропроизводители округа</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Объем собственных денежных средств крестьянских (фер</w:t>
              <w:softHyphen/>
              <w:t>мерских) хозяйств использованных в рамках грантовой поддержки</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тыс. руб.</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shd w:fill="auto" w:val="clear"/>
              </w:rPr>
            </w:pPr>
            <w:r>
              <w:rPr>
                <w:rFonts w:cs="Times New Roman" w:ascii="Times New Roman" w:hAnsi="Times New Roman"/>
                <w:color w:val="000000"/>
                <w:sz w:val="22"/>
                <w:szCs w:val="22"/>
                <w:shd w:fill="auto" w:val="clear"/>
              </w:rPr>
              <w:t>За 2025 год сельхозтоваропроизводителями получена государственная поддержка, в том числе:</w:t>
            </w:r>
          </w:p>
          <w:p>
            <w:pPr>
              <w:pStyle w:val="Normal"/>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- 1 глава КФХ получил грант «Агростартап» - 4 млн. 998 тыс. рублей;</w:t>
            </w:r>
          </w:p>
          <w:p>
            <w:pPr>
              <w:pStyle w:val="Normal"/>
              <w:spacing w:lineRule="auto" w:line="240" w:before="0" w:after="0"/>
              <w:jc w:val="both"/>
              <w:rPr>
                <w:rFonts w:ascii="Times New Roman" w:hAnsi="Times New Roman" w:cs="Times New Roman"/>
                <w:color w:val="000000"/>
                <w:sz w:val="22"/>
                <w:szCs w:val="22"/>
                <w:shd w:fill="auto" w:val="clear"/>
              </w:rPr>
            </w:pPr>
            <w:r>
              <w:rPr>
                <w:rFonts w:cs="Times New Roman" w:ascii="Times New Roman" w:hAnsi="Times New Roman"/>
                <w:color w:val="000000"/>
                <w:sz w:val="22"/>
                <w:szCs w:val="22"/>
                <w:shd w:fill="auto" w:val="clear"/>
              </w:rPr>
              <w:t>- 2 главы КФХ получили гранты  в форме субсидий ветеранам и участникам СВО и членам их семей - 8 млн. рублей (проекты по разведению овец и крупного рогатого скота)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2.5.2.</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Стимулирование развития малого и среднего предпринимательства в сфере производства товаров и оказания услуг, вовлечение молодых людей в предпринимательскую деятельность.</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Обеспечение доступности финансо</w:t>
              <w:softHyphen/>
              <w:t>вой и имущественной поддержки, прежде всего, для субъектов малого и среднего предпринимательства, осуществляющих деятельность в приоритетных отраслях экономики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«Экономиче</w:t>
              <w:softHyphen/>
              <w:t>ское развитие и улуч</w:t>
              <w:softHyphen/>
              <w:t>шение инвестицион</w:t>
              <w:softHyphen/>
              <w:t>ного климата», муни</w:t>
              <w:softHyphen/>
              <w:t>ципальная программа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экономического разви</w:t>
              <w:softHyphen/>
              <w:t>тия и закупок АТМО СК, от</w:t>
              <w:softHyphen/>
              <w:t>дел сельского хозяйства и ох</w:t>
              <w:softHyphen/>
              <w:t>раны окружающей среды АТМО СК, управление иму</w:t>
              <w:softHyphen/>
              <w:t>щественных и земельных от</w:t>
              <w:softHyphen/>
              <w:t>ношений</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pPr>
            <w:r>
              <w:rPr>
                <w:rFonts w:cs="Times New Roman" w:ascii="Times New Roman" w:hAnsi="Times New Roman"/>
                <w:sz w:val="22"/>
                <w:szCs w:val="22"/>
                <w:shd w:fill="FFFFFF" w:val="clear"/>
              </w:rPr>
              <w:t xml:space="preserve">Информация о действующих мерах </w:t>
            </w:r>
            <w:r>
              <w:rPr>
                <w:rFonts w:eastAsia="" w:cs="Times New Roman" w:ascii="Times New Roman" w:hAnsi="Times New Roman"/>
                <w:sz w:val="22"/>
                <w:szCs w:val="22"/>
                <w:shd w:fill="FFFFFF" w:val="clear"/>
              </w:rPr>
              <w:t>финансо</w:t>
              <w:softHyphen/>
              <w:t>вой и имущественной поддержки</w:t>
            </w:r>
            <w:r>
              <w:rPr>
                <w:rFonts w:cs="Times New Roman" w:ascii="Times New Roman" w:hAnsi="Times New Roman"/>
                <w:sz w:val="22"/>
                <w:szCs w:val="22"/>
                <w:shd w:fill="FFFFFF" w:val="clear"/>
              </w:rPr>
              <w:t xml:space="preserve"> сельскохозяйственных товаропроизводителей,  </w:t>
            </w:r>
            <w:r>
              <w:rPr>
                <w:rFonts w:eastAsia="" w:cs="Times New Roman" w:ascii="Times New Roman" w:hAnsi="Times New Roman"/>
                <w:sz w:val="22"/>
                <w:szCs w:val="22"/>
                <w:shd w:fill="FFFFFF" w:val="clear"/>
              </w:rPr>
              <w:t>осуществляющих деятельность в приоритетных отраслях экономики округа, доступна на официальном сайте АТМО СК.</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Организация и проведение  и поощ</w:t>
              <w:softHyphen/>
              <w:t>рение победителей соревнований в агропромышленном комплексе  ок</w:t>
              <w:softHyphen/>
              <w:t>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Отдел сельского хозяйства и ох</w:t>
              <w:softHyphen/>
              <w:t>раны окружаю</w:t>
              <w:softHyphen/>
              <w:t>щей среды АТМО СК, главы КФХ</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Расходы на проведе</w:t>
              <w:softHyphen/>
              <w:t>ние соревнований в агропромышленном комплексе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тыс.</w:t>
            </w:r>
          </w:p>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руб.</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BodyText21"/>
              <w:widowControl w:val="false"/>
              <w:suppressAutoHyphens w:val="false"/>
              <w:bidi w:val="0"/>
              <w:spacing w:lineRule="auto" w:line="240" w:before="0" w:after="0"/>
              <w:ind w:hanging="57" w:right="113"/>
              <w:contextualSpacing/>
              <w:jc w:val="both"/>
              <w:rPr/>
            </w:pPr>
            <w:r>
              <w:rPr>
                <w:rFonts w:cs="Times New Roman" w:ascii="Times New Roman" w:hAnsi="Times New Roman"/>
                <w:sz w:val="22"/>
                <w:szCs w:val="22"/>
              </w:rPr>
              <w:t>В</w:t>
            </w:r>
            <w:r>
              <w:rPr>
                <w:rFonts w:cs="Times New Roman" w:ascii="Times New Roman" w:hAnsi="Times New Roman"/>
                <w:sz w:val="22"/>
                <w:szCs w:val="22"/>
                <w:shd w:fill="FFFFFF" w:val="clear"/>
              </w:rPr>
              <w:t>се денежные средства затрачены на поощрение работников сельского хозяйства по итогам проведения соревнований в агропромышленном комплексе Туркменского муниципального округа. Расх</w:t>
            </w:r>
            <w:r>
              <w:rPr>
                <w:rFonts w:cs="Times New Roman" w:ascii="Times New Roman" w:hAnsi="Times New Roman"/>
                <w:sz w:val="22"/>
                <w:szCs w:val="22"/>
                <w:shd w:fill="auto" w:val="clear"/>
              </w:rPr>
              <w:t>оды на проведе</w:t>
              <w:softHyphen/>
              <w:t>ние соревнований в агропромышленном комплексе округа за 2025 год составили 176,96 тыс. рублей.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hd w:fill="FFFFFF" w:val="clear"/>
              </w:rPr>
            </w:pPr>
            <w:r>
              <w:rPr>
                <w:rFonts w:cs="Times New Roman" w:ascii="Times New Roman" w:hAnsi="Times New Roman"/>
                <w:shd w:fill="FFFFFF" w:val="clear"/>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Формирование сводных списков участников мероприятий  по улуч</w:t>
              <w:softHyphen/>
              <w:t>шению жилищных условий граждан, проживающих на сельских террито</w:t>
              <w:softHyphen/>
              <w:t>риях и последующее их представле</w:t>
              <w:softHyphen/>
              <w:t>ние в Министерство сельского хо</w:t>
              <w:softHyphen/>
              <w:t>зяйства Ставропольского края с це</w:t>
              <w:softHyphen/>
              <w:t>лью принятия решения и для финан</w:t>
              <w:softHyphen/>
              <w:t>сирования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Государственная про</w:t>
              <w:softHyphen/>
              <w:t>грамма РФ «Ком</w:t>
              <w:softHyphen/>
              <w:t>плексное развитие сельских территорий», государственная про</w:t>
              <w:softHyphen/>
              <w:t>грамма Ставрополь</w:t>
              <w:softHyphen/>
              <w:t>ского края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охраны окружающей среды АТМО СК; территориальные управления АТМО СК; насе</w:t>
              <w:softHyphen/>
              <w:t>ление округа</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sz w:val="22"/>
                <w:szCs w:val="22"/>
                <w:shd w:fill="FFFFFF" w:val="clear"/>
              </w:rPr>
              <w:t>Ведется формирование сводных списков участников мероприятий  по улуч</w:t>
              <w:softHyphen/>
              <w:t>шению жилищных условий граждан, проживающих на сельских террито</w:t>
              <w:softHyphen/>
              <w:t>риях и последующее их представле</w:t>
              <w:softHyphen/>
              <w:t>ние в Министерство сельского хо</w:t>
              <w:softHyphen/>
              <w:t>зяйства Ставропольского края с це</w:t>
              <w:softHyphen/>
              <w:t xml:space="preserve">лью принятия решения и для финансирования. </w:t>
            </w:r>
            <w:r>
              <w:rPr>
                <w:rFonts w:eastAsia="" w:cs="Times New Roman" w:ascii="Times New Roman" w:hAnsi="Times New Roman"/>
                <w:i w:val="false"/>
                <w:iCs w:val="false"/>
                <w:color w:val="000000"/>
                <w:sz w:val="22"/>
                <w:szCs w:val="28"/>
                <w:shd w:fill="FFFFFF" w:val="clear"/>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на 2025 год предусмотрен объем бюджетных средств, направленных на социальную выплату по приобретению жилья в сумме</w:t>
            </w:r>
            <w:r>
              <w:rPr>
                <w:rFonts w:eastAsia="" w:cs="Times New Roman" w:ascii="Times New Roman" w:hAnsi="Times New Roman"/>
                <w:i w:val="false"/>
                <w:iCs w:val="false"/>
                <w:color w:val="000000"/>
                <w:sz w:val="22"/>
                <w:szCs w:val="28"/>
                <w:shd w:fill="auto" w:val="clear"/>
              </w:rPr>
              <w:t xml:space="preserve"> 1249,98 тыс. рублей, в том числе средства федерального бюджета — 1,064 млн. рублей, средства бюджета Ставропольского края — 0,056 млн. рублей, средства бюджета Туркменского муниципального округа Ставропольского края — 129,59 тыс. рублей. </w:t>
            </w:r>
            <w:r>
              <w:rPr>
                <w:rFonts w:eastAsia="" w:cs="Times New Roman" w:ascii="Times New Roman" w:hAnsi="Times New Roman"/>
                <w:i w:val="false"/>
                <w:iCs w:val="false"/>
                <w:color w:val="000000"/>
                <w:sz w:val="22"/>
                <w:szCs w:val="28"/>
                <w:shd w:fill="FFFFFF" w:val="clear"/>
              </w:rPr>
              <w:t>К</w:t>
            </w:r>
            <w:r>
              <w:rPr>
                <w:rFonts w:eastAsia="" w:cs="Times New Roman" w:ascii="Times New Roman" w:hAnsi="Times New Roman"/>
                <w:i w:val="false"/>
                <w:iCs w:val="false"/>
                <w:color w:val="000000"/>
                <w:sz w:val="22"/>
                <w:szCs w:val="22"/>
                <w:shd w:fill="FFFFFF" w:val="clear"/>
              </w:rPr>
              <w:t>ассовое исполнение за 2025 год составило 1179,36 тыс. рублей. Жилье приобрел</w:t>
            </w:r>
            <w:r>
              <w:rPr>
                <w:rFonts w:eastAsia="" w:cs="Times New Roman" w:ascii="Times New Roman" w:hAnsi="Times New Roman"/>
                <w:b w:val="false"/>
                <w:bCs w:val="false"/>
                <w:i w:val="false"/>
                <w:iCs w:val="false"/>
                <w:color w:val="000000"/>
                <w:sz w:val="22"/>
                <w:szCs w:val="22"/>
                <w:u w:val="none"/>
                <w:shd w:fill="FFFFFF" w:val="clear"/>
              </w:rPr>
              <w:t>а од</w:t>
            </w:r>
            <w:r>
              <w:rPr>
                <w:rFonts w:eastAsia="" w:cs="Times New Roman" w:ascii="Times New Roman" w:hAnsi="Times New Roman"/>
                <w:i w:val="false"/>
                <w:iCs w:val="false"/>
                <w:color w:val="000000"/>
                <w:sz w:val="22"/>
                <w:szCs w:val="22"/>
                <w:shd w:fill="FFFFFF" w:val="clear"/>
              </w:rPr>
              <w:t>на семья в составе 6 человек в г. Ставрополе.</w:t>
            </w:r>
            <w:r>
              <w:rPr>
                <w:rFonts w:eastAsia="" w:cs="Times New Roman" w:ascii="Times New Roman" w:hAnsi="Times New Roman"/>
                <w:bCs/>
                <w:i w:val="false"/>
                <w:iCs w:val="false"/>
                <w:color w:val="000000"/>
                <w:sz w:val="22"/>
                <w:szCs w:val="22"/>
                <w:shd w:fill="FFFFFF" w:val="clear"/>
              </w:rPr>
              <w:t xml:space="preserve"> По состоянию на 01 января 2026 года на учете в качестве нуждающихся в жилых помещениях состоят 16 семей, из них10 молодых семей -  участники мероприятия по обеспечения жильем молодых семей, 3 семьи – участники государственной программы «Комплексное развитие сельских территорий», 1 многодетная семья – </w:t>
            </w:r>
            <w:bookmarkStart w:id="1" w:name="_Hlk157673727_Копия_1"/>
            <w:bookmarkEnd w:id="1"/>
            <w:r>
              <w:rPr>
                <w:rFonts w:eastAsia="" w:cs="Times New Roman" w:ascii="Times New Roman" w:hAnsi="Times New Roman"/>
                <w:bCs/>
                <w:i w:val="false"/>
                <w:iCs w:val="false"/>
                <w:color w:val="000000"/>
                <w:sz w:val="22"/>
                <w:szCs w:val="22"/>
                <w:shd w:fill="FFFFFF" w:val="clear"/>
              </w:rPr>
              <w:t>на получения земельного участка бесплатно в собственность, один человек - участник (ветеран) боевых действий Демократической Республики Афганистан на получение жилого помещения в краевом жилищном фонде Ставропольского края, предоставляемых по договорам социального найма и 1 одна молодая семья, не являющаяся участницей программы.</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hd w:fill="FFFFFF" w:val="clear"/>
              </w:rPr>
            </w:pPr>
            <w:r>
              <w:rPr>
                <w:rFonts w:cs="Times New Roman" w:ascii="Times New Roman" w:hAnsi="Times New Roman"/>
                <w:shd w:fill="FFFFFF" w:val="clear"/>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Информирование населения о воз</w:t>
              <w:softHyphen/>
              <w:t>можности обучения в образователь</w:t>
              <w:softHyphen/>
              <w:t>ном проекте «Школа фермера»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охраны окружающей среды АТМО СК; сельскохозяйст</w:t>
              <w:softHyphen/>
              <w:t>венные товаропроизводители и население округа Ставро</w:t>
              <w:softHyphen/>
              <w:t>польского края</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Вся соответствующая информация доводится до населения путем размещения на сайте, в социальных сетях и средствах массовой информации.</w:t>
            </w:r>
          </w:p>
        </w:tc>
      </w:tr>
      <w:tr>
        <w:trPr/>
        <w:tc>
          <w:tcPr>
            <w:tcW w:w="7192" w:type="dxa"/>
            <w:gridSpan w:val="5"/>
            <w:vMerge w:val="restart"/>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b/>
                <w:sz w:val="22"/>
                <w:szCs w:val="22"/>
              </w:rPr>
            </w:pPr>
            <w:r>
              <w:rPr>
                <w:rFonts w:cs="Times New Roman" w:ascii="Times New Roman" w:hAnsi="Times New Roman"/>
                <w:b/>
                <w:bCs/>
                <w:sz w:val="22"/>
                <w:szCs w:val="22"/>
              </w:rPr>
              <w:t>2.6. Развитие сферы услуг и потребительского рынка</w:t>
            </w:r>
          </w:p>
        </w:tc>
        <w:tc>
          <w:tcPr>
            <w:tcW w:w="234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Оборот розничной торговли</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2"/>
                <w:szCs w:val="22"/>
                <w:shd w:fill="FFFFFF" w:val="clear"/>
              </w:rPr>
            </w:pPr>
            <w:r>
              <w:rPr>
                <w:rFonts w:cs="Times New Roman" w:ascii="Times New Roman" w:hAnsi="Times New Roman"/>
                <w:sz w:val="22"/>
                <w:szCs w:val="22"/>
                <w:shd w:fill="FFFFFF" w:val="clear"/>
              </w:rPr>
              <w:t>млн.рублей</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ind w:right="-2"/>
              <w:jc w:val="both"/>
              <w:rPr/>
            </w:pPr>
            <w:r>
              <w:rPr>
                <w:rFonts w:cs="Times New Roman" w:ascii="Times New Roman" w:hAnsi="Times New Roman"/>
                <w:color w:val="000000"/>
                <w:sz w:val="22"/>
                <w:szCs w:val="22"/>
              </w:rPr>
              <w:t xml:space="preserve">Согласно данных статистики за 2025 год оборот розничной торговли крупных и средних предприятий всех видов экономической деятельности составил 525,7 млн. рублей, </w:t>
            </w:r>
            <w:r>
              <w:rPr>
                <w:rFonts w:cs="Times New Roman" w:ascii="Times New Roman" w:hAnsi="Times New Roman"/>
                <w:i w:val="false"/>
                <w:iCs w:val="false"/>
                <w:color w:val="000000"/>
                <w:sz w:val="22"/>
                <w:szCs w:val="22"/>
                <w:shd w:fill="FFFFFF" w:val="clear"/>
              </w:rPr>
              <w:t xml:space="preserve"> что в сопоставимых ценах на 23,6% больше, чем в 2024 году.  В расчете на одного жителя округа приобретено товаров на сумму 24189,02 рублей.</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234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Оборот платных услуг</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2"/>
                <w:szCs w:val="22"/>
                <w:shd w:fill="FFFFFF" w:val="clear"/>
              </w:rPr>
            </w:pPr>
            <w:r>
              <w:rPr>
                <w:rFonts w:cs="Times New Roman" w:ascii="Times New Roman" w:hAnsi="Times New Roman"/>
                <w:sz w:val="22"/>
                <w:szCs w:val="22"/>
                <w:shd w:fill="FFFFFF" w:val="clear"/>
              </w:rPr>
              <w:t>млн.рублей</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Оборот платных услуг за 2025 год составил 422,41 млн. рублей.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2.6.1.</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Содействие в создании и развитии много форматной инфраструктуры розничной торговли и платных услуг населению</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Содействие в создании сети магазинов шаговой доступности с ассортиментом, включающим в себя товары первой необходимости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Отдел экономического разви</w:t>
              <w:softHyphen/>
              <w:t>тия и закупок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Администрация ТМО СК оказывает содействие в создании сети магази</w:t>
              <w:softHyphen/>
              <w:t>нов шаговой доступности с ассортиментом, включающим в себя товары первой необходимости.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2.6.2.</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Содействие в создании максимально благоприятных условий местным товаропроизводителям</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Содействие в обеспечении жителей округа сельскохозяйственной продукцией по ценам производителя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Отдел сельского хозяйства и охраны окружающей среды АТМО СК, отдел экономиче</w:t>
              <w:softHyphen/>
              <w:t>ского развития и закупок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Еженедельно на территории каждого территориального управления проводится ярмарка «Одного дня», где можно приобрести сельскохозяйственную продукцию.</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Мониторинг основных тенденций экономического развития предприятий торговли, в том числе проведе</w:t>
              <w:softHyphen/>
              <w:t>ние аналитической работы процесса ценообразования на социально значимые продовольственные товары в организациях торговли и на ярмарках</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Отдел экономического разви</w:t>
              <w:softHyphen/>
              <w:t>тия и закупок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Ежеквартально проводится мониторинг основных тенденций экономического развития предприятий розничной торговли. Еженедельно проводится мониторинг ценообразования на социально значимые продовольственные товары в организациях торговли и на ярмарках.</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2.6.3.</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Содействие в развитии объектов общественного питания на территории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Отдел экономического разви</w:t>
              <w:softHyphen/>
              <w:t>тия и закупок АТМО СК</w:t>
            </w:r>
          </w:p>
        </w:tc>
        <w:tc>
          <w:tcPr>
            <w:tcW w:w="2349" w:type="dxa"/>
            <w:tcBorders>
              <w:left w:val="single" w:sz="4" w:space="0" w:color="000000"/>
              <w:bottom w:val="single" w:sz="4" w:space="0" w:color="000000"/>
              <w:right w:val="single" w:sz="4" w:space="0" w:color="000000"/>
            </w:tcBorders>
          </w:tcPr>
          <w:p>
            <w:pPr>
              <w:pStyle w:val="Normal"/>
              <w:snapToGrid w:val="false"/>
              <w:spacing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before="0" w:after="20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before="0" w:after="200"/>
              <w:jc w:val="center"/>
              <w:rPr>
                <w:rFonts w:ascii="Times New Roman" w:hAnsi="Times New Roman" w:cs="Times New Roman"/>
                <w:color w:val="000000"/>
                <w:sz w:val="22"/>
                <w:szCs w:val="22"/>
              </w:rPr>
            </w:pPr>
            <w:r>
              <w:rPr>
                <w:rFonts w:cs="Times New Roman" w:ascii="Times New Roman" w:hAnsi="Times New Roman"/>
                <w:color w:val="000000"/>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Администрация ТМО СК оказывает содействие в развитии объектов об</w:t>
              <w:softHyphen/>
              <w:t>щественного питания на территории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2.6.4.</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Формирование оптимального размещения нестационарных торговых объектов по продаже сезонного ассортимента товаров,  объектов социально-зна</w:t>
              <w:softHyphen/>
              <w:t>чимой специализации товаров: продовольственных товаров, сельскохозяйственной продукции, печатной продукции на территории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Размещение нестационарных торговых объектов в соответствии со схемами размещения нестационарных торговых объектов на территории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Отдел экономического разви</w:t>
              <w:softHyphen/>
              <w:t>тия и закупок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Размещение нестационарных торго</w:t>
              <w:softHyphen/>
              <w:t>вых объектов  осуществляется в соответствии со схемами размещения нестационарных торговых объектов на территории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2.6.5.</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Организация участия предпринимателей сферы бытовых услуг в конкурсах профессионального мастер</w:t>
              <w:softHyphen/>
              <w:t>ства, семинарах, практикумах, кон</w:t>
              <w:softHyphen/>
              <w:t>ференциях, мастер-классах</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Муниципальная программа «Экономическое развитие и улуч</w:t>
              <w:softHyphen/>
              <w:t>шение инвестиционного климата»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Отдел экономического разви</w:t>
              <w:softHyphen/>
              <w:t>тия и закупок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До сведения предпринимателей сферы бытовых услуг посредством социальных сетей доводится информация об участии в кон</w:t>
              <w:softHyphen/>
              <w:t>курсах профессионального мастер</w:t>
              <w:softHyphen/>
              <w:t>ства, семинарах, практикумах, кон</w:t>
              <w:softHyphen/>
              <w:t>ференциях, мастер-классах.</w:t>
            </w:r>
          </w:p>
        </w:tc>
      </w:tr>
      <w:tr>
        <w:trPr/>
        <w:tc>
          <w:tcPr>
            <w:tcW w:w="15353" w:type="dxa"/>
            <w:gridSpan w:val="9"/>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b/>
                <w:bCs/>
              </w:rPr>
            </w:pPr>
            <w:r>
              <w:rPr>
                <w:rFonts w:cs="Times New Roman" w:ascii="Times New Roman" w:hAnsi="Times New Roman"/>
                <w:b/>
                <w:bCs/>
                <w:sz w:val="22"/>
                <w:szCs w:val="22"/>
              </w:rPr>
              <w:t>2.7. Развитие природопользования и охраны окружающей среды</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2.7.1.</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Анализ состояния окружающей среды и экологической безопасности</w:t>
            </w:r>
          </w:p>
        </w:tc>
      </w:tr>
      <w:tr>
        <w:trPr/>
        <w:tc>
          <w:tcPr>
            <w:tcW w:w="726"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Доведение до сельскохозяйственных товаропроизводителей Туркменского муниципального округа о необходи</w:t>
              <w:softHyphen/>
              <w:t>мости соблюдения природоохран</w:t>
              <w:softHyphen/>
              <w:t>ного законодательства и публикация соответствующих статей на сайте АТМО СК</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охрана окружающей среды АТМО СК; сельскохозяйст</w:t>
              <w:softHyphen/>
              <w:t>венные товаропроизводители округа</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статей экологической на</w:t>
              <w:softHyphen/>
              <w:t>правленности разме</w:t>
              <w:softHyphen/>
              <w:t>щенных на сайте АТМО СК</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ед.</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На сайте администрации и в социальных сетях за 2025 год размещено 11 статей экологической направленности.</w:t>
            </w:r>
          </w:p>
        </w:tc>
      </w:tr>
      <w:tr>
        <w:trPr>
          <w:trHeight w:val="379" w:hRule="atLeast"/>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2.7.3</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Охрана за использованием объектов животного и растительного мира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shd w:fill="FFFFFF" w:val="clear"/>
              </w:rPr>
            </w:pPr>
            <w:r>
              <w:rPr>
                <w:rFonts w:cs="Times New Roman" w:ascii="Times New Roman" w:hAnsi="Times New Roman"/>
                <w:sz w:val="24"/>
                <w:szCs w:val="24"/>
                <w:shd w:fill="FFFFFF" w:val="clear"/>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Доведение до сведения сельскохо</w:t>
              <w:softHyphen/>
              <w:t>зяйственных товаропроизводителей округа информации о необходимо</w:t>
              <w:softHyphen/>
              <w:t>сти соблюдения природоохранного законодательства,  публикация соот</w:t>
              <w:softHyphen/>
              <w:t>ветствующих статей на сайте АТМО СК</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охрана окружающей среды АТМО СК; сельскохозяйст</w:t>
              <w:softHyphen/>
              <w:t>венные товаропроизводители  округа</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статей экологической на</w:t>
              <w:softHyphen/>
              <w:t>правленности разме</w:t>
              <w:softHyphen/>
              <w:t>щенных на сайте АТМО СК</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единиц</w:t>
            </w:r>
          </w:p>
        </w:tc>
        <w:tc>
          <w:tcPr>
            <w:tcW w:w="1292" w:type="dxa"/>
            <w:tcBorders>
              <w:left w:val="single" w:sz="4" w:space="0" w:color="000000"/>
              <w:bottom w:val="single" w:sz="4" w:space="0" w:color="000000"/>
            </w:tcBorders>
          </w:tcPr>
          <w:p>
            <w:pPr>
              <w:pStyle w:val="Normal"/>
              <w:spacing w:lineRule="auto" w:line="240" w:before="0" w:after="0"/>
              <w:jc w:val="center"/>
              <w:rPr/>
            </w:pPr>
            <w:r>
              <w:rPr>
                <w:rFonts w:eastAsia="" w:cs="Times New Roman" w:ascii="Times New Roman" w:hAnsi="Times New Roman"/>
                <w:sz w:val="22"/>
                <w:szCs w:val="22"/>
                <w:shd w:fill="FFFFFF" w:val="clear"/>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На сайте администрации и в социальных сетях за 2025 год размещено 11 статей экологической направленности.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shd w:fill="FFFFFF" w:val="clear"/>
              </w:rPr>
            </w:pPr>
            <w:r>
              <w:rPr>
                <w:rFonts w:cs="Times New Roman" w:ascii="Times New Roman" w:hAnsi="Times New Roman"/>
                <w:sz w:val="24"/>
                <w:szCs w:val="24"/>
                <w:shd w:fill="FFFFFF" w:val="clear"/>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Проведение на территории округа мероприятий  Всероссийской акции по очистке от мусора берегов вод</w:t>
              <w:softHyphen/>
              <w:t>ных объектов «Вода России». Ин</w:t>
              <w:softHyphen/>
              <w:t>формирование населения округа о сложившейся экологической обста</w:t>
              <w:softHyphen/>
              <w:t>новке</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охраны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ежегод</w:t>
              <w:softHyphen/>
              <w:t>ных экологических акций и субботников, проведенных на тер</w:t>
              <w:softHyphen/>
              <w:t>ритории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В 2025 году в рамках ежегодной экологической  акции «Сохраним природу Ставрополья» было проведено 15 субботников; в рамках акции «Вода России» 7 субботников; в рамках акции «Сдай макулатуру – спаси дерево» было проведено 2 мероприятия.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shd w:fill="FFFFFF" w:val="clear"/>
              </w:rPr>
            </w:pPr>
            <w:r>
              <w:rPr>
                <w:rFonts w:cs="Times New Roman" w:ascii="Times New Roman" w:hAnsi="Times New Roman"/>
                <w:sz w:val="24"/>
                <w:szCs w:val="24"/>
                <w:shd w:fill="FFFFFF" w:val="clear"/>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sz w:val="22"/>
                <w:szCs w:val="22"/>
                <w:shd w:fill="FFFFFF" w:val="clear"/>
              </w:rPr>
              <w:t xml:space="preserve">Проведение на территории  округа мероприятий </w:t>
            </w:r>
            <w:r>
              <w:rPr>
                <w:rFonts w:eastAsia="" w:cs="Times New Roman" w:ascii="Times New Roman" w:hAnsi="Times New Roman"/>
                <w:sz w:val="22"/>
                <w:szCs w:val="22"/>
                <w:shd w:fill="FFFFFF" w:val="clear"/>
                <w:lang w:eastAsia="ru-RU"/>
              </w:rPr>
              <w:t>по санитарной очистке, благоустройству и озеленению насе</w:t>
              <w:softHyphen/>
              <w:t xml:space="preserve">ленных пунктов, лесопарковых зон, придорожных зон </w:t>
            </w:r>
            <w:r>
              <w:rPr>
                <w:rFonts w:eastAsia="" w:cs="Times New Roman" w:ascii="Times New Roman" w:hAnsi="Times New Roman"/>
                <w:sz w:val="22"/>
                <w:szCs w:val="22"/>
                <w:shd w:fill="FFFFFF" w:val="clear"/>
              </w:rPr>
              <w:t>в рамках ежегод</w:t>
              <w:softHyphen/>
              <w:t>ной экологической акции «Сохраним природу Ставрополья»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Отдел сельского хозяйства и охраны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ежегод</w:t>
              <w:softHyphen/>
              <w:t>ных экологических акций и субботников, проведенных на тер</w:t>
              <w:softHyphen/>
              <w:t>ритории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В 2025 году в рамках ежегодной экологической  акции «Сохраним природу Ставрополья» было проведено 15 субботников; в рамках акции «Вода России» 7 субботников; в рамках акции «Сдай макулатуру – спаси дерево» было проведено 2 мероприятия.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Проведение мониторинга количества учащихся, принимавших участие в мероприятиях направленных на по</w:t>
              <w:softHyphen/>
              <w:t>вышение уровня экологического воспитания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охраны окружающей среды АТМО СК; территориальные управления АТМО СК;управление образования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уча</w:t>
              <w:softHyphen/>
              <w:t>щихся принявших участие в мероприятиях направленных на повышение уровня экологического воспитания</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человек</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Учащиеся средне общеобразовательных школ принимали участие в различных экологических акциях: по изготовлению кормушек, по сбору макулатуры, сбор принадлежностей и кормов для приюта с бездомными животными и т.д.</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Осуществление муниципального зе</w:t>
              <w:softHyphen/>
              <w:t>мельного контроля в части касаю</w:t>
              <w:softHyphen/>
              <w:t>щейся сельскохозяйственной деятельности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Внепрограммное ме</w:t>
              <w:softHyphen/>
              <w:t>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охрана окружающей среда АТМО СК; управление иму</w:t>
              <w:softHyphen/>
              <w:t>щественных и земельных от</w:t>
              <w:softHyphen/>
              <w:t>ношений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highlight w:val="none"/>
                <w:shd w:fill="auto" w:val="clear"/>
              </w:rPr>
            </w:pPr>
            <w:r>
              <w:rPr>
                <w:rFonts w:eastAsia="" w:cs="Times New Roman" w:ascii="Times New Roman" w:hAnsi="Times New Roman"/>
                <w:sz w:val="22"/>
                <w:szCs w:val="22"/>
                <w:shd w:fill="auto" w:val="clear"/>
              </w:rPr>
            </w:r>
          </w:p>
          <w:p>
            <w:pPr>
              <w:pStyle w:val="Normal"/>
              <w:snapToGrid w:val="false"/>
              <w:spacing w:lineRule="auto" w:line="240" w:before="0" w:after="0"/>
              <w:jc w:val="center"/>
              <w:rPr>
                <w:rFonts w:ascii="Times New Roman" w:hAnsi="Times New Roman" w:eastAsia="" w:cs="Times New Roman"/>
                <w:sz w:val="22"/>
                <w:szCs w:val="22"/>
                <w:highlight w:val="none"/>
                <w:shd w:fill="auto" w:val="clear"/>
              </w:rPr>
            </w:pPr>
            <w:r>
              <w:rPr>
                <w:rFonts w:eastAsia="" w:cs="Times New Roman" w:ascii="Times New Roman" w:hAnsi="Times New Roman"/>
                <w:sz w:val="22"/>
                <w:szCs w:val="22"/>
                <w:shd w:fill="auto" w:val="clear"/>
              </w:rPr>
            </w:r>
          </w:p>
          <w:p>
            <w:pPr>
              <w:pStyle w:val="Normal"/>
              <w:snapToGrid w:val="false"/>
              <w:spacing w:lineRule="auto" w:line="240" w:before="0" w:after="0"/>
              <w:jc w:val="center"/>
              <w:rPr>
                <w:highlight w:val="none"/>
                <w:shd w:fill="auto" w:val="clear"/>
              </w:rPr>
            </w:pPr>
            <w:r>
              <w:rPr>
                <w:rFonts w:eastAsia="" w:cs="Times New Roman" w:ascii="Times New Roman" w:hAnsi="Times New Roman"/>
                <w:sz w:val="22"/>
                <w:szCs w:val="22"/>
                <w:shd w:fill="auto" w:val="clear"/>
              </w:rPr>
              <w:t>х</w:t>
            </w:r>
          </w:p>
        </w:tc>
        <w:tc>
          <w:tcPr>
            <w:tcW w:w="3569" w:type="dxa"/>
            <w:tcBorders>
              <w:left w:val="single" w:sz="4" w:space="0" w:color="000000"/>
              <w:bottom w:val="single" w:sz="4" w:space="0" w:color="000000"/>
              <w:right w:val="single" w:sz="4" w:space="0" w:color="000000"/>
            </w:tcBorders>
          </w:tcPr>
          <w:p>
            <w:pPr>
              <w:pStyle w:val="Normal"/>
              <w:widowControl/>
              <w:spacing w:lineRule="auto" w:line="240" w:before="0" w:after="0"/>
              <w:jc w:val="both"/>
              <w:rPr>
                <w:highlight w:val="none"/>
                <w:shd w:fill="auto" w:val="clear"/>
              </w:rPr>
            </w:pPr>
            <w:r>
              <w:rPr>
                <w:rFonts w:cs="Times New Roman" w:ascii="Times New Roman" w:hAnsi="Times New Roman"/>
                <w:i w:val="false"/>
                <w:iCs w:val="false"/>
                <w:sz w:val="22"/>
                <w:szCs w:val="22"/>
                <w:shd w:fill="auto" w:val="clear"/>
              </w:rPr>
              <w:t>На постоянной основе специалистами о</w:t>
            </w:r>
            <w:r>
              <w:rPr>
                <w:rFonts w:eastAsia="" w:cs="Times New Roman" w:ascii="Times New Roman" w:hAnsi="Times New Roman"/>
                <w:i w:val="false"/>
                <w:iCs w:val="false"/>
                <w:sz w:val="22"/>
                <w:szCs w:val="22"/>
                <w:shd w:fill="auto" w:val="clear"/>
              </w:rPr>
              <w:t>тдела сельского хозяйства и охрана окружающей среда АТМО СК и управления иму</w:t>
              <w:softHyphen/>
              <w:t>щественных и земельных от</w:t>
              <w:softHyphen/>
              <w:t>ношений АТМО СК о</w:t>
            </w:r>
            <w:r>
              <w:rPr>
                <w:rFonts w:cs="Times New Roman" w:ascii="Times New Roman" w:hAnsi="Times New Roman"/>
                <w:i w:val="false"/>
                <w:iCs w:val="false"/>
                <w:sz w:val="22"/>
                <w:szCs w:val="22"/>
                <w:shd w:fill="auto" w:val="clear"/>
              </w:rPr>
              <w:t>существляется контроль за целевым использованием земель в соответствии с их принадлежностью к той или иной категории, а также обеспечением соблюдения требований по исполнению обязанностей по приведению земель в состояние, пригодное для использования по целевому назначению.</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2.7.4</w:t>
            </w:r>
          </w:p>
        </w:tc>
        <w:tc>
          <w:tcPr>
            <w:tcW w:w="11058" w:type="dxa"/>
            <w:gridSpan w:val="7"/>
            <w:tcBorders>
              <w:left w:val="single" w:sz="4" w:space="0" w:color="000000"/>
              <w:bottom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Нормирование воздействия на окружающую среду</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tc>
      </w:tr>
      <w:tr>
        <w:trPr>
          <w:trHeight w:val="2777" w:hRule="atLeast"/>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Стимулирование сельскохозяйствен</w:t>
              <w:softHyphen/>
              <w:t>ных товаропроизводителей внедрять прогрессивные влаго-сберегающие агротехнологии и применять высо</w:t>
              <w:softHyphen/>
              <w:t>котехнологичную комплексную сельского хозяйственную технику</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Внепрограммное ме</w:t>
              <w:softHyphen/>
              <w:t>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Сельскохозяйственные пред</w:t>
              <w:softHyphen/>
              <w:t>приятия округа; главы кресть</w:t>
              <w:softHyphen/>
              <w:t>янских (фермерских) хозяйств круга (по согласованию)</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highlight w:val="none"/>
                <w:shd w:fill="auto" w:val="clear"/>
              </w:rPr>
            </w:pPr>
            <w:r>
              <w:rPr>
                <w:rFonts w:eastAsia="" w:cs="Times New Roman" w:ascii="Times New Roman" w:hAnsi="Times New Roman"/>
                <w:sz w:val="22"/>
                <w:szCs w:val="22"/>
                <w:shd w:fill="auto" w:val="clear"/>
              </w:rPr>
            </w:r>
          </w:p>
          <w:p>
            <w:pPr>
              <w:pStyle w:val="Normal"/>
              <w:snapToGrid w:val="false"/>
              <w:spacing w:lineRule="auto" w:line="240" w:before="0" w:after="0"/>
              <w:jc w:val="center"/>
              <w:rPr>
                <w:rFonts w:ascii="Times New Roman" w:hAnsi="Times New Roman" w:eastAsia="" w:cs="Times New Roman"/>
                <w:sz w:val="22"/>
                <w:szCs w:val="22"/>
                <w:highlight w:val="none"/>
                <w:shd w:fill="auto" w:val="clear"/>
              </w:rPr>
            </w:pPr>
            <w:r>
              <w:rPr>
                <w:rFonts w:eastAsia="" w:cs="Times New Roman" w:ascii="Times New Roman" w:hAnsi="Times New Roman"/>
                <w:sz w:val="22"/>
                <w:szCs w:val="22"/>
                <w:shd w:fill="auto" w:val="clear"/>
              </w:rPr>
            </w:r>
          </w:p>
          <w:p>
            <w:pPr>
              <w:pStyle w:val="Normal"/>
              <w:snapToGrid w:val="false"/>
              <w:spacing w:lineRule="auto" w:line="240" w:before="0" w:after="0"/>
              <w:jc w:val="center"/>
              <w:rPr>
                <w:highlight w:val="none"/>
                <w:shd w:fill="auto" w:val="clear"/>
              </w:rPr>
            </w:pPr>
            <w:r>
              <w:rPr>
                <w:rFonts w:eastAsia="" w:cs="Times New Roman" w:ascii="Times New Roman" w:hAnsi="Times New Roman"/>
                <w:sz w:val="22"/>
                <w:szCs w:val="22"/>
                <w:shd w:fill="auto"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highlight w:val="none"/>
                <w:shd w:fill="auto" w:val="clear"/>
              </w:rPr>
            </w:pPr>
            <w:r>
              <w:rPr>
                <w:rFonts w:cs="Times New Roman" w:ascii="Times New Roman" w:hAnsi="Times New Roman"/>
                <w:sz w:val="22"/>
                <w:szCs w:val="22"/>
                <w:shd w:fill="auto" w:val="clear"/>
              </w:rPr>
              <w:t>Проводится работа по информированию сельскохозяйственных товаропроизводителей округа о преимуществах внедрения прогрессивных влаго-сберегающих, агротехнологий технологий и достоинствах применения высокотехнологичной сельскохозяйственной техники.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hd w:fill="FFFFFF" w:val="clear"/>
              </w:rPr>
            </w:pPr>
            <w:r>
              <w:rPr>
                <w:rFonts w:cs="Times New Roman" w:ascii="Times New Roman" w:hAnsi="Times New Roman"/>
                <w:shd w:fill="FFFFFF" w:val="clear"/>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Доведение до сведения  сельскохо</w:t>
              <w:softHyphen/>
              <w:t>зяйственных товаропроизводителей  округа информации о необходимо</w:t>
              <w:softHyphen/>
              <w:t>сти соблюдения природоохранного законодательства и публикация со</w:t>
              <w:softHyphen/>
              <w:t>ответствующий статей на сайте АТМО СК</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охрана окружающей среды АТМО СК; сельскохозяйст</w:t>
              <w:softHyphen/>
              <w:t>венные товаропроизводители округа</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статей экологической на</w:t>
              <w:softHyphen/>
              <w:t>правленности разме</w:t>
              <w:softHyphen/>
              <w:t>щенных на сайте АТМО СК</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единиц</w:t>
            </w:r>
          </w:p>
        </w:tc>
        <w:tc>
          <w:tcPr>
            <w:tcW w:w="1292" w:type="dxa"/>
            <w:tcBorders>
              <w:left w:val="single" w:sz="4" w:space="0" w:color="000000"/>
              <w:bottom w:val="single" w:sz="4" w:space="0" w:color="000000"/>
            </w:tcBorders>
          </w:tcPr>
          <w:p>
            <w:pPr>
              <w:pStyle w:val="Normal"/>
              <w:spacing w:lineRule="auto" w:line="240" w:before="0" w:after="0"/>
              <w:jc w:val="center"/>
              <w:rPr>
                <w:highlight w:val="none"/>
                <w:shd w:fill="auto" w:val="clear"/>
              </w:rPr>
            </w:pPr>
            <w:r>
              <w:rPr>
                <w:rFonts w:eastAsia="" w:cs="Times New Roman" w:ascii="Times New Roman" w:hAnsi="Times New Roman"/>
                <w:sz w:val="22"/>
                <w:szCs w:val="22"/>
                <w:shd w:fill="auto" w:val="clear"/>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cs="Times New Roman" w:ascii="Times New Roman" w:hAnsi="Times New Roman"/>
                <w:sz w:val="22"/>
                <w:szCs w:val="22"/>
                <w:shd w:fill="auto" w:val="clear"/>
              </w:rPr>
              <w:t xml:space="preserve">Проводится работа по информированию сельскохозяйственных товаропроизводителей округа </w:t>
            </w:r>
            <w:r>
              <w:rPr>
                <w:rFonts w:eastAsia="" w:cs="Times New Roman" w:ascii="Times New Roman" w:hAnsi="Times New Roman"/>
                <w:sz w:val="22"/>
                <w:szCs w:val="22"/>
                <w:shd w:fill="auto" w:val="clear"/>
                <w:lang w:eastAsia="ru-RU"/>
              </w:rPr>
              <w:t>о необходимо</w:t>
              <w:softHyphen/>
              <w:t>сти соблюдения природоохранного законодательства посредством р</w:t>
            </w:r>
            <w:r>
              <w:rPr>
                <w:rFonts w:cs="Times New Roman" w:ascii="Times New Roman" w:hAnsi="Times New Roman"/>
                <w:sz w:val="22"/>
                <w:szCs w:val="22"/>
                <w:shd w:fill="auto" w:val="clear"/>
              </w:rPr>
              <w:t>азмещения информации на сайте администрации округа, социальных сетях, а также с использованием средств мобильной связи и сети «Интернет».</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2.7.6.</w:t>
            </w:r>
          </w:p>
        </w:tc>
        <w:tc>
          <w:tcPr>
            <w:tcW w:w="11058" w:type="dxa"/>
            <w:gridSpan w:val="7"/>
            <w:tcBorders>
              <w:left w:val="single" w:sz="4" w:space="0" w:color="000000"/>
              <w:bottom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Водопользование и охрана водных ресурсов</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Проведение на территории округа мероприятий Всероссийской акции по очистке от мусора берегов вод</w:t>
              <w:softHyphen/>
              <w:t>ных объектов «Вода России»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охраны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ежегод</w:t>
              <w:softHyphen/>
              <w:t>ных экологических акций и субботников, проведенных на тер</w:t>
              <w:softHyphen/>
              <w:t>ритории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В 2025 году в рамках ежегодной экологической  акции «Сохраним природу Ставрополья» было проведено 15 субботников; в рамках акции «Вода России» 7 субботников; в рамках акции «Сдай макулатуру – спаси дерево» было проведено 2 мероприятия.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hd w:fill="FFFFFF" w:val="clear"/>
              </w:rPr>
            </w:pPr>
            <w:r>
              <w:rPr>
                <w:rFonts w:cs="Times New Roman" w:ascii="Times New Roman" w:hAnsi="Times New Roman"/>
                <w:shd w:fill="FFFFFF" w:val="clear"/>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Организация и проведение субботников по очистке прибрежных полос водоемов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охраны окружающей среды АТМО СК; сельскохозяйст</w:t>
              <w:softHyphen/>
              <w:t>венные товаропроизводители округа; население  округа</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 каждом территориальном управлении проводятся субботники по очистки прибережных полос водоемов если такие есть на его территории. Так в 2025 году было проведено 7 таких субботников.</w:t>
            </w:r>
          </w:p>
        </w:tc>
      </w:tr>
      <w:tr>
        <w:trPr/>
        <w:tc>
          <w:tcPr>
            <w:tcW w:w="7192" w:type="dxa"/>
            <w:gridSpan w:val="5"/>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b/>
                <w:bCs/>
                <w:sz w:val="22"/>
                <w:szCs w:val="22"/>
              </w:rPr>
              <w:t>2.8. Укрепление трудового и кадрового потенциала</w:t>
            </w:r>
          </w:p>
          <w:p>
            <w:pPr>
              <w:pStyle w:val="Normal"/>
              <w:spacing w:lineRule="auto" w:line="240" w:before="0" w:after="0"/>
              <w:jc w:val="both"/>
              <w:rPr>
                <w:rFonts w:ascii="Times New Roman" w:hAnsi="Times New Roman" w:cs="Times New Roman"/>
                <w:b/>
                <w:bCs/>
                <w:sz w:val="22"/>
                <w:szCs w:val="22"/>
              </w:rPr>
            </w:pPr>
            <w:r>
              <w:rPr>
                <w:rFonts w:cs="Times New Roman" w:ascii="Times New Roman" w:hAnsi="Times New Roman"/>
                <w:b/>
                <w:bCs/>
                <w:sz w:val="22"/>
                <w:szCs w:val="22"/>
              </w:rPr>
            </w:r>
          </w:p>
        </w:tc>
        <w:tc>
          <w:tcPr>
            <w:tcW w:w="234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Создание новых ра</w:t>
              <w:softHyphen/>
              <w:t>бочих мест</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sz w:val="22"/>
                <w:szCs w:val="22"/>
              </w:rPr>
            </w:pPr>
            <w:r>
              <w:rPr>
                <w:rFonts w:cs="Times New Roman" w:ascii="Times New Roman" w:hAnsi="Times New Roman"/>
                <w:color w:val="000000"/>
                <w:sz w:val="22"/>
                <w:szCs w:val="22"/>
              </w:rPr>
              <w:t>человек</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Фактически за 2025 год создано 48 рабочих мест за счет получения социального контракта.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2.8.1.</w:t>
            </w:r>
          </w:p>
        </w:tc>
        <w:tc>
          <w:tcPr>
            <w:tcW w:w="14627" w:type="dxa"/>
            <w:gridSpan w:val="8"/>
            <w:tcBorders>
              <w:left w:val="single" w:sz="4" w:space="0" w:color="000000"/>
              <w:bottom w:val="single" w:sz="4" w:space="0" w:color="000000"/>
              <w:right w:val="single" w:sz="4" w:space="0" w:color="000000"/>
            </w:tcBorders>
          </w:tcPr>
          <w:p>
            <w:pPr>
              <w:pStyle w:val="Web1Web11Web112111"/>
              <w:spacing w:lineRule="auto" w:line="240" w:before="0" w:after="0"/>
              <w:jc w:val="both"/>
              <w:rPr>
                <w:rFonts w:ascii="Times New Roman" w:hAnsi="Times New Roman" w:cs="Times New Roman"/>
                <w:sz w:val="22"/>
                <w:szCs w:val="22"/>
                <w:lang w:val="ru-RU" w:eastAsia="ru-RU"/>
              </w:rPr>
            </w:pPr>
            <w:r>
              <w:rPr>
                <w:rFonts w:cs="Times New Roman" w:ascii="Times New Roman" w:hAnsi="Times New Roman"/>
                <w:sz w:val="22"/>
                <w:szCs w:val="22"/>
                <w:lang w:val="ru-RU" w:eastAsia="ru-RU"/>
              </w:rPr>
              <w:t>Создание гибкого рынка труда, обеспечивающего максимально полное и эффективное использование трудового потенциала.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Организация и проведение мониторинга состояния условий и охраны труда у работодателей, осуществ</w:t>
              <w:softHyphen/>
              <w:t>ляющих деятельность на территории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ja-JP"/>
              </w:rPr>
            </w:pPr>
            <w:r>
              <w:rPr>
                <w:rFonts w:eastAsia="" w:cs="Times New Roman" w:ascii="Times New Roman" w:hAnsi="Times New Roman"/>
                <w:sz w:val="22"/>
                <w:szCs w:val="22"/>
                <w:lang w:eastAsia="ja-JP"/>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УТСЗН</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tabs>
                <w:tab w:val="clear" w:pos="708"/>
                <w:tab w:val="left" w:pos="5670" w:leader="none"/>
              </w:tabs>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В целях исполнения переданных отдельных государственных полномочий Ставропольского края в области охраны труда проводились сбор и обработка информации о состоянии условий и охраны труда на предприятиях и в организациях в 2025 году, согласно постановления администрации Туркменского муниципального округа Ставропольского края от 24 июня 2022 года № 525 «Об утверждении Порядка организации и проведения мониторинга состояния условий и охраны труда у работодателей, осуществляющих деятельность на территории Туркменского муниципального округа Ставропольского края». За 2025 год информация о состоянии условий и охраны труда поступила от 100 организаций, с численностью работников 2787 человек. Охват организаций Туркменского округа составил 37,8% (в 2024 г. - 97 организаций, 40,6%).</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2.8.2</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Обеспечение трудовой занятости и доходов трудоспособного населения в соответствии с про</w:t>
              <w:softHyphen/>
              <w:t>фессиональным образованием и уровнем квалификации.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Style15"/>
              <w:spacing w:lineRule="auto" w:line="240" w:before="0" w:after="200"/>
              <w:ind w:hanging="0" w:left="0" w:right="0"/>
              <w:rPr>
                <w:rFonts w:ascii="Times New Roman" w:hAnsi="Times New Roman" w:cs="Times New Roman"/>
                <w:iCs/>
                <w:sz w:val="22"/>
                <w:szCs w:val="22"/>
              </w:rPr>
            </w:pPr>
            <w:r>
              <w:rPr>
                <w:rFonts w:cs="Times New Roman"/>
                <w:iCs/>
                <w:sz w:val="22"/>
                <w:szCs w:val="22"/>
              </w:rPr>
              <w:t>Разработка прогноза потребности в кадрах по перспективным и востребованным профессиям</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ja-JP"/>
              </w:rPr>
            </w:pPr>
            <w:r>
              <w:rPr>
                <w:rFonts w:eastAsia="" w:cs="Times New Roman" w:ascii="Times New Roman" w:hAnsi="Times New Roman"/>
                <w:sz w:val="22"/>
                <w:szCs w:val="22"/>
                <w:lang w:eastAsia="ja-JP"/>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УТСЗН</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tabs>
                <w:tab w:val="clear" w:pos="708"/>
                <w:tab w:val="left" w:pos="5670" w:leader="none"/>
              </w:tabs>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Ежегодно разрабатывается прогноз потребности организаций округа в кадрах  по перспективным  и востребованным профессиям. Подготовлен прогноз потребности в специалистах и рабочих кадрах в отраслях экономики Туркменского муниципального округа по 73 организациям. Опрос о потребности в кадрах на цифровой платформе ФГБУ «ВНИИ  труда» Минтруда России прошли 38 организаций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hd w:fill="auto" w:val="clear"/>
                <w:lang w:eastAsia="ru-RU"/>
              </w:rPr>
            </w:pPr>
            <w:r>
              <w:rPr>
                <w:rFonts w:eastAsia="" w:cs="Times New Roman" w:ascii="Times New Roman" w:hAnsi="Times New Roman"/>
                <w:shd w:fill="auto" w:val="clear"/>
                <w:lang w:eastAsia="ru-RU"/>
              </w:rPr>
              <w:t>2.8.3</w:t>
            </w:r>
          </w:p>
        </w:tc>
        <w:tc>
          <w:tcPr>
            <w:tcW w:w="2863" w:type="dxa"/>
            <w:tcBorders>
              <w:left w:val="single" w:sz="4" w:space="0" w:color="000000"/>
              <w:bottom w:val="single" w:sz="4" w:space="0" w:color="000000"/>
              <w:right w:val="single" w:sz="4" w:space="0" w:color="000000"/>
            </w:tcBorders>
          </w:tcPr>
          <w:p>
            <w:pPr>
              <w:pStyle w:val="Style15"/>
              <w:spacing w:lineRule="auto" w:line="240" w:before="0" w:after="200"/>
              <w:ind w:hanging="0" w:left="0" w:right="0"/>
              <w:rPr>
                <w:rFonts w:ascii="Times New Roman" w:hAnsi="Times New Roman" w:cs="Times New Roman"/>
                <w:iCs/>
                <w:sz w:val="22"/>
                <w:szCs w:val="22"/>
                <w:shd w:fill="auto" w:val="clear"/>
              </w:rPr>
            </w:pPr>
            <w:r>
              <w:rPr>
                <w:rFonts w:cs="Times New Roman"/>
                <w:iCs/>
                <w:sz w:val="22"/>
                <w:szCs w:val="22"/>
                <w:shd w:fill="auto" w:val="clear"/>
              </w:rPr>
              <w:t>Легализация трудовых отношений, снижение неформальной занятости, профилактика нарушений трудовых прав работников</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auto" w:val="clear"/>
                <w:lang w:eastAsia="ja-JP"/>
              </w:rPr>
            </w:pPr>
            <w:r>
              <w:rPr>
                <w:rFonts w:eastAsia="" w:cs="Times New Roman" w:ascii="Times New Roman" w:hAnsi="Times New Roman"/>
                <w:sz w:val="22"/>
                <w:szCs w:val="22"/>
                <w:shd w:fill="auto" w:val="clear"/>
                <w:lang w:eastAsia="ja-JP"/>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УТСЗН</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tabs>
                <w:tab w:val="clear" w:pos="708"/>
                <w:tab w:val="left" w:pos="5670" w:leader="none"/>
              </w:tabs>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В целях снижения неформальной занятости населения в 2025 году проведено 6 заседаний рабочей группы межведомственной комиссии по противодействию нелегальной занятости и формированию просроченной задолженности по заработной плате в Туркменском муниципальном округе Ставропольского края, на которых были рассмотрены вопросы о проводимой работе по легализации «теневой» заработной платы, заслушано 15 налогоплательщиков.</w:t>
            </w:r>
          </w:p>
        </w:tc>
      </w:tr>
      <w:tr>
        <w:trPr/>
        <w:tc>
          <w:tcPr>
            <w:tcW w:w="15353" w:type="dxa"/>
            <w:gridSpan w:val="9"/>
            <w:tcBorders>
              <w:left w:val="single" w:sz="4" w:space="0" w:color="000000"/>
              <w:bottom w:val="single" w:sz="4" w:space="0" w:color="000000"/>
              <w:right w:val="single" w:sz="4" w:space="0" w:color="000000"/>
            </w:tcBorders>
          </w:tcPr>
          <w:p>
            <w:pPr>
              <w:pStyle w:val="Normal"/>
              <w:spacing w:lineRule="auto" w:line="240" w:before="0" w:after="0"/>
              <w:jc w:val="center"/>
              <w:rPr/>
            </w:pPr>
            <w:r>
              <w:rPr>
                <w:rFonts w:eastAsia="" w:cs="Times New Roman" w:ascii="Times New Roman" w:hAnsi="Times New Roman"/>
                <w:b/>
                <w:sz w:val="22"/>
                <w:szCs w:val="22"/>
                <w:lang w:eastAsia="ru-RU"/>
              </w:rPr>
              <w:t xml:space="preserve">Цель </w:t>
            </w:r>
            <w:r>
              <w:rPr>
                <w:rFonts w:eastAsia="" w:cs="Times New Roman" w:ascii="Times New Roman" w:hAnsi="Times New Roman"/>
                <w:b/>
                <w:sz w:val="22"/>
                <w:szCs w:val="22"/>
                <w:lang w:val="en-US" w:eastAsia="ru-RU"/>
              </w:rPr>
              <w:t>III</w:t>
            </w:r>
            <w:r>
              <w:rPr>
                <w:rFonts w:eastAsia="" w:cs="Times New Roman" w:ascii="Times New Roman" w:hAnsi="Times New Roman"/>
                <w:b/>
                <w:sz w:val="22"/>
                <w:szCs w:val="22"/>
                <w:lang w:eastAsia="ru-RU"/>
              </w:rPr>
              <w:t>. Формирование комфортной среды для проживания и ведения бизнеса</w:t>
            </w:r>
          </w:p>
        </w:tc>
      </w:tr>
      <w:tr>
        <w:trPr/>
        <w:tc>
          <w:tcPr>
            <w:tcW w:w="7192" w:type="dxa"/>
            <w:gridSpan w:val="5"/>
            <w:vMerge w:val="restart"/>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b/>
                <w:bCs/>
                <w:sz w:val="22"/>
                <w:szCs w:val="22"/>
                <w:lang w:eastAsia="ru-RU"/>
              </w:rPr>
              <w:t>3.1. Развитие строительства, архитектуры и градостроительства</w:t>
            </w:r>
          </w:p>
        </w:tc>
        <w:tc>
          <w:tcPr>
            <w:tcW w:w="234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Ввод в действие жи</w:t>
              <w:softHyphen/>
              <w:t>лых домов</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color w:val="000000"/>
                <w:sz w:val="22"/>
                <w:szCs w:val="22"/>
                <w:shd w:fill="FFFFFF" w:val="clear"/>
                <w:lang w:eastAsia="ru-RU"/>
              </w:rPr>
              <w:t xml:space="preserve"> </w:t>
            </w:r>
            <w:r>
              <w:rPr>
                <w:rFonts w:eastAsia="" w:cs="Times New Roman" w:ascii="Times New Roman" w:hAnsi="Times New Roman"/>
                <w:color w:val="000000"/>
                <w:sz w:val="22"/>
                <w:szCs w:val="22"/>
                <w:shd w:fill="FFFFFF" w:val="clear"/>
                <w:lang w:eastAsia="ru-RU"/>
              </w:rPr>
              <w:t>тыс.кв.м</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tLeast" w:line="200" w:before="0" w:after="200"/>
              <w:ind w:right="0"/>
              <w:jc w:val="both"/>
              <w:rPr/>
            </w:pPr>
            <w:r>
              <w:rPr>
                <w:rFonts w:cs="Times New Roman" w:ascii="Times New Roman" w:hAnsi="Times New Roman"/>
                <w:i w:val="false"/>
                <w:iCs w:val="false"/>
                <w:color w:val="000000"/>
                <w:sz w:val="22"/>
                <w:szCs w:val="22"/>
              </w:rPr>
              <w:t>За 2025 год сдано в эксплуатацию жилых домов общей площадью 5,621 к</w:t>
            </w:r>
            <w:r>
              <w:rPr>
                <w:rFonts w:cs="Times New Roman" w:ascii="Times New Roman" w:hAnsi="Times New Roman"/>
                <w:sz w:val="22"/>
                <w:szCs w:val="22"/>
              </w:rPr>
              <w:t>в.м, что на 17,1 % больше, чем в 2024 году.</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4"/>
                <w:szCs w:val="24"/>
                <w:shd w:fill="FFFFFF" w:val="clear"/>
                <w:lang w:eastAsia="ru-RU"/>
              </w:rPr>
            </w:pPr>
            <w:r>
              <w:rPr>
                <w:rFonts w:eastAsia="" w:cs="Times New Roman" w:ascii="Times New Roman" w:hAnsi="Times New Roman"/>
                <w:sz w:val="24"/>
                <w:szCs w:val="24"/>
                <w:shd w:fill="FFFFFF" w:val="clear"/>
                <w:lang w:eastAsia="ru-RU"/>
              </w:rPr>
            </w:r>
          </w:p>
        </w:tc>
        <w:tc>
          <w:tcPr>
            <w:tcW w:w="234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Общая площадь жи</w:t>
              <w:softHyphen/>
              <w:t>лых помещений, приходящаяся в среднем на одного жителя, всего</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кв.м.</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Общая площадь жилых помещений, приходящаяся в среднем на одного жителя, всего — 27,9 кв.м.</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4"/>
                <w:szCs w:val="24"/>
                <w:shd w:fill="FFFFFF" w:val="clear"/>
                <w:lang w:eastAsia="ru-RU"/>
              </w:rPr>
            </w:pPr>
            <w:r>
              <w:rPr>
                <w:rFonts w:eastAsia="" w:cs="Times New Roman" w:ascii="Times New Roman" w:hAnsi="Times New Roman"/>
                <w:sz w:val="24"/>
                <w:szCs w:val="24"/>
                <w:shd w:fill="FFFFFF" w:val="clear"/>
                <w:lang w:eastAsia="ru-RU"/>
              </w:rPr>
            </w:r>
          </w:p>
        </w:tc>
        <w:tc>
          <w:tcPr>
            <w:tcW w:w="234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pPr>
            <w:r>
              <w:rPr>
                <w:rFonts w:cs="Times New Roman" w:ascii="Times New Roman" w:hAnsi="Times New Roman"/>
                <w:sz w:val="22"/>
                <w:szCs w:val="22"/>
                <w:shd w:fill="FFFFFF" w:val="clear"/>
                <w:lang w:eastAsia="ru-RU"/>
              </w:rPr>
              <w:t xml:space="preserve">в том числе, </w:t>
            </w:r>
            <w:r>
              <w:rPr>
                <w:rFonts w:cs="Times New Roman" w:ascii="Times New Roman" w:hAnsi="Times New Roman"/>
                <w:color w:val="000000"/>
                <w:sz w:val="22"/>
                <w:szCs w:val="22"/>
                <w:shd w:fill="FFFFFF" w:val="clear"/>
                <w:lang w:eastAsia="ru-RU"/>
              </w:rPr>
              <w:t>введен</w:t>
              <w:softHyphen/>
              <w:t>ная в действие в среднем на одного жителя</w:t>
            </w:r>
          </w:p>
        </w:tc>
        <w:tc>
          <w:tcPr>
            <w:tcW w:w="951"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кв.м.</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pPr>
            <w:r>
              <w:rPr>
                <w:rFonts w:cs="Times New Roman" w:ascii="Times New Roman" w:hAnsi="Times New Roman"/>
                <w:sz w:val="22"/>
                <w:szCs w:val="22"/>
                <w:shd w:fill="FFFFFF" w:val="clear"/>
              </w:rPr>
              <w:t xml:space="preserve">в том числе, </w:t>
            </w:r>
            <w:r>
              <w:rPr>
                <w:rFonts w:cs="Times New Roman" w:ascii="Times New Roman" w:hAnsi="Times New Roman"/>
                <w:color w:val="000000"/>
                <w:sz w:val="22"/>
                <w:szCs w:val="22"/>
                <w:shd w:fill="FFFFFF" w:val="clear"/>
              </w:rPr>
              <w:t>введенная в действие в среднем на одного жителя — 0,259 кв.м.</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4"/>
                <w:szCs w:val="24"/>
                <w:shd w:fill="FFFFFF" w:val="clear"/>
                <w:lang w:eastAsia="ru-RU"/>
              </w:rPr>
            </w:pPr>
            <w:r>
              <w:rPr>
                <w:rFonts w:eastAsia="" w:cs="Times New Roman" w:ascii="Times New Roman" w:hAnsi="Times New Roman"/>
                <w:sz w:val="24"/>
                <w:szCs w:val="24"/>
                <w:shd w:fill="FFFFFF" w:val="clear"/>
                <w:lang w:eastAsia="ru-RU"/>
              </w:rPr>
            </w:r>
          </w:p>
        </w:tc>
        <w:tc>
          <w:tcPr>
            <w:tcW w:w="234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Количество сведений, документов и материалов, размещенных в государственной информационной системе обеспечения градостроительной деятельности и федеральной государственной информационной системе территориального планирования</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В государст</w:t>
              <w:softHyphen/>
              <w:t>венной информаци</w:t>
              <w:softHyphen/>
              <w:t>онной системе обес</w:t>
              <w:softHyphen/>
              <w:t>печения градостроительной деятельности и федеральной госу</w:t>
              <w:softHyphen/>
              <w:t>дарственной инфор</w:t>
              <w:softHyphen/>
              <w:t>мационной системе территориального планирования размещено 135  сведений, документов и материалов.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3.1.1.</w:t>
            </w:r>
          </w:p>
        </w:tc>
        <w:tc>
          <w:tcPr>
            <w:tcW w:w="14627" w:type="dxa"/>
            <w:gridSpan w:val="8"/>
            <w:tcBorders>
              <w:left w:val="single" w:sz="4" w:space="0" w:color="000000"/>
              <w:bottom w:val="single" w:sz="4" w:space="0" w:color="000000"/>
              <w:right w:val="single" w:sz="4" w:space="0" w:color="000000"/>
            </w:tcBorders>
          </w:tcPr>
          <w:p>
            <w:pPr>
              <w:pStyle w:val="ConsPlusNormal"/>
              <w:spacing w:before="0" w:after="200"/>
              <w:jc w:val="both"/>
              <w:rPr>
                <w:rFonts w:ascii="Times New Roman" w:hAnsi="Times New Roman" w:cs="Times New Roman"/>
                <w:sz w:val="22"/>
                <w:szCs w:val="22"/>
              </w:rPr>
            </w:pPr>
            <w:r>
              <w:rPr>
                <w:rFonts w:cs="Times New Roman"/>
                <w:sz w:val="22"/>
                <w:szCs w:val="22"/>
              </w:rPr>
              <w:t>Обеспечение жителей Туркменского округа доступным и комфортным жильем, улучшение качества городской среды</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Содействие населению округа и формирование сводных списков уча</w:t>
              <w:softHyphen/>
              <w:t>стников программ по улучшению жилищных условий граждан, прожи</w:t>
              <w:softHyphen/>
              <w:t>вающих на сельских территориях и последующее их представление в Министерство сельского хозяйства Ставропольского края с целью при</w:t>
              <w:softHyphen/>
              <w:t>нятия решения и для финансирования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Государственная про</w:t>
              <w:softHyphen/>
              <w:t>грамма РФ «Комплексное развитие сельских территорий», государственная про</w:t>
              <w:softHyphen/>
              <w:t>грамма Ставрополь</w:t>
              <w:softHyphen/>
              <w:t>ского края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охраны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ind w:right="0"/>
              <w:jc w:val="both"/>
              <w:rPr/>
            </w:pPr>
            <w:r>
              <w:rPr>
                <w:rFonts w:cs="Times New Roman" w:ascii="Times New Roman" w:hAnsi="Times New Roman"/>
                <w:i w:val="false"/>
                <w:iCs w:val="false"/>
                <w:color w:val="000000"/>
                <w:sz w:val="22"/>
                <w:szCs w:val="22"/>
                <w:shd w:fill="FFFFFF" w:val="clear"/>
              </w:rPr>
              <w:t xml:space="preserve">Ежегодно проводится работа по </w:t>
            </w:r>
            <w:r>
              <w:rPr>
                <w:rFonts w:eastAsia="" w:cs="Times New Roman" w:ascii="Times New Roman" w:hAnsi="Times New Roman"/>
                <w:i w:val="false"/>
                <w:iCs w:val="false"/>
                <w:color w:val="000000"/>
                <w:sz w:val="22"/>
                <w:szCs w:val="22"/>
                <w:shd w:fill="FFFFFF" w:val="clear"/>
              </w:rPr>
              <w:t>формированию сводных списков уча</w:t>
              <w:softHyphen/>
              <w:t>стников программ по улучшению жилищных условий граждан, проживающих на территории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shd w:fill="FFFFFF" w:val="clear"/>
              </w:rPr>
            </w:pPr>
            <w:r>
              <w:rPr>
                <w:rFonts w:cs="Times New Roman" w:ascii="Times New Roman" w:hAnsi="Times New Roman"/>
                <w:color w:val="000000"/>
                <w:sz w:val="22"/>
                <w:szCs w:val="22"/>
                <w:shd w:fill="FFFFFF" w:val="clear"/>
              </w:rPr>
              <w:t>Содействие населению округа в участии государственной программы Российской Федерации «Обеспече</w:t>
              <w:softHyphen/>
              <w:t>ние доступным и комфортным жильем и коммунальными услугами граждан Российской Федерации»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shd w:fill="FFFFFF" w:val="clear"/>
              </w:rPr>
            </w:pPr>
            <w:r>
              <w:rPr>
                <w:rFonts w:cs="Times New Roman" w:ascii="Times New Roman" w:hAnsi="Times New Roman"/>
                <w:color w:val="000000"/>
                <w:sz w:val="22"/>
                <w:szCs w:val="22"/>
                <w:shd w:fill="FFFFFF" w:val="clear"/>
              </w:rPr>
              <w:t>Государственная про</w:t>
              <w:softHyphen/>
              <w:t>грамма РФ«Обеспечение доступным и комфортным жильем и коммунальными услугами граж</w:t>
              <w:softHyphen/>
              <w:t>дан Российской Феде</w:t>
              <w:softHyphen/>
              <w:t>рации»</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lang w:eastAsia="ru-RU"/>
              </w:rPr>
            </w:pPr>
            <w:r>
              <w:rPr>
                <w:rFonts w:cs="Times New Roman" w:ascii="Times New Roman" w:hAnsi="Times New Roman"/>
                <w:sz w:val="22"/>
                <w:szCs w:val="22"/>
                <w:lang w:eastAsia="ru-RU"/>
              </w:rPr>
              <w:t>Управление муниципального хозяйства, транспорта , до</w:t>
              <w:softHyphen/>
              <w:t>рожной деятельности  АТМО СК, начальники территориальных управлений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widowControl/>
              <w:suppressAutoHyphens w:val="false"/>
              <w:bidi w:val="0"/>
              <w:spacing w:lineRule="auto" w:line="240" w:before="0" w:after="0"/>
              <w:ind w:right="0"/>
              <w:jc w:val="both"/>
              <w:rPr/>
            </w:pPr>
            <w:r>
              <w:rPr>
                <w:rFonts w:cs="Times New Roman" w:ascii="Times New Roman" w:hAnsi="Times New Roman"/>
                <w:sz w:val="22"/>
                <w:szCs w:val="22"/>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в 2025 году было предусмотрено бюджетных средств, направленных на социальную выплату по приобретению жилья в сумме</w:t>
            </w:r>
            <w:r>
              <w:rPr>
                <w:rFonts w:cs="Times New Roman" w:ascii="Times New Roman" w:hAnsi="Times New Roman"/>
                <w:sz w:val="22"/>
                <w:szCs w:val="22"/>
                <w:shd w:fill="auto" w:val="clear"/>
              </w:rPr>
              <w:t xml:space="preserve"> 1249,98 тыс. рублей, в том числе средства федерального бюджета — 1,064 млн. рублей, средства бюджета Ставропольского края — 0,056 млн. рублей, средства бюджета Туркменского муниципального округа Ставропольского края — 129,59 тыс. рублей. </w:t>
            </w:r>
            <w:r>
              <w:rPr>
                <w:rFonts w:cs="Times New Roman" w:ascii="Times New Roman" w:hAnsi="Times New Roman"/>
                <w:sz w:val="22"/>
                <w:szCs w:val="22"/>
              </w:rPr>
              <w:t>Кассовое исполнение за 2025 год составило 1179,36 тыс. рублей. Жилье приобрел</w:t>
            </w:r>
            <w:r>
              <w:rPr>
                <w:rFonts w:cs="Times New Roman" w:ascii="Times New Roman" w:hAnsi="Times New Roman"/>
                <w:b w:val="false"/>
                <w:bCs w:val="false"/>
                <w:sz w:val="22"/>
                <w:szCs w:val="22"/>
                <w:u w:val="none"/>
              </w:rPr>
              <w:t>а од</w:t>
            </w:r>
            <w:r>
              <w:rPr>
                <w:rFonts w:cs="Times New Roman" w:ascii="Times New Roman" w:hAnsi="Times New Roman"/>
                <w:sz w:val="22"/>
                <w:szCs w:val="22"/>
              </w:rPr>
              <w:t>на семья в составе 6 человек в г. Ставрополе.</w:t>
            </w:r>
            <w:r>
              <w:rPr>
                <w:rFonts w:cs="Times New Roman" w:ascii="Times New Roman" w:hAnsi="Times New Roman"/>
                <w:bCs/>
                <w:sz w:val="22"/>
                <w:szCs w:val="22"/>
              </w:rPr>
              <w:t xml:space="preserve"> По состоянию на 01 января 2026 года на учете в качестве нуждающихся в жилых помещениях состоят 16 семей, из них10 молодых семей -  участники мероприятия по обеспечения жильем молодых семей, 3 семьи – участники государственной программы «Комплексное развитие сельских территорий», 1 многодетная семья – на получения земельного участка бесплатно в собственность, один человек - участник (ветеран) боевых действий Демократической Республики Афганистан на получение жилого помещения в краевом жилищном фонде Ставропольского края, предоставляемых по договорам социального найма и 1 одна молодая семья, не являющаяся участницей программы.</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3.1.2.</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Повышение энергоэффективности строящихся и существующих объектов капитального строи</w:t>
              <w:softHyphen/>
              <w:t>тельства и коммунальных систем</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rPr>
              <w:t>Использование энерго- и ресурсосберегающих технологий, конструкций при строительстве, реконструк</w:t>
              <w:softHyphen/>
              <w:t xml:space="preserve">ции </w:t>
            </w:r>
            <w:r>
              <w:rPr>
                <w:rFonts w:eastAsia="" w:cs="Times New Roman" w:ascii="Times New Roman" w:hAnsi="Times New Roman"/>
                <w:sz w:val="22"/>
                <w:szCs w:val="22"/>
                <w:lang w:eastAsia="ru-RU"/>
              </w:rPr>
              <w:t>объектов капитального строительства и коммунальных систем</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lang w:eastAsia="ru-RU"/>
              </w:rPr>
            </w:pPr>
            <w:r>
              <w:rPr>
                <w:rFonts w:cs="Times New Roman" w:ascii="Times New Roman" w:hAnsi="Times New Roman"/>
                <w:sz w:val="22"/>
                <w:szCs w:val="22"/>
                <w:lang w:eastAsia="ru-RU"/>
              </w:rPr>
              <w:t>Управление муниципального хозяйства, транспорта , до</w:t>
              <w:softHyphen/>
              <w:t>рожной деятельности  АТМО СК, предприятия и организации ресурсоснабжающих организаций</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rPr>
              <w:t xml:space="preserve">При строительстве, реконструкции </w:t>
            </w:r>
            <w:r>
              <w:rPr>
                <w:rFonts w:cs="Times New Roman" w:ascii="Times New Roman" w:hAnsi="Times New Roman"/>
                <w:sz w:val="22"/>
                <w:szCs w:val="22"/>
                <w:lang w:eastAsia="ru-RU"/>
              </w:rPr>
              <w:t>объектов капитального строи</w:t>
              <w:softHyphen/>
              <w:t>тельства и коммунальных систем учреждений образования, культуры используются энерго- и ресурсос</w:t>
              <w:softHyphen/>
              <w:t>берегающие технологии и  конструкции.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3.1.3.</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Вовлечение в хозяйственный оборот ранее не задействованных для строительства земельных участков, повышение эффективности использования земельных участков, предназначенных для строительства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Оформление права муниципальной собственности на объекты недвижи</w:t>
              <w:softHyphen/>
              <w:t>мого имущества и эффективное управление и распоряжение этим имуществом</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«Управление имуществом»</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Управление имущественных и земельных отношений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ind w:right="0"/>
              <w:jc w:val="both"/>
              <w:rPr>
                <w:rFonts w:ascii="Times New Roman" w:hAnsi="Times New Roman" w:cs="Times New Roman"/>
                <w:sz w:val="22"/>
                <w:szCs w:val="22"/>
              </w:rPr>
            </w:pPr>
            <w:r>
              <w:rPr>
                <w:rFonts w:cs="Times New Roman" w:ascii="Times New Roman" w:hAnsi="Times New Roman"/>
                <w:sz w:val="22"/>
                <w:szCs w:val="22"/>
              </w:rPr>
              <w:t>В реестре  муниципального имущества округа значится 64 муниципальных учреждения (из них 17 - органы управления, 13 - учреждения культуры, 1 – учреждение по защите населения и территории Туркменского округа от чрезвычайных ситуаций, 1 – учреждение по предоставлению государственных и муниципальных услуг населению, 1 - учреждение по ведению бухгалтерского учета, 1- учреждение обеспечивающее надлежащее состояние зданий и сооружения Туркменского муниципального округа, 30 –учреждений отрасли образования) на балансе которых находится  имущество общей балансовой стоимостью –  1 298 299,73 тыс. рублей, в том числе 591 объектов недвижимости, из них 421 сооружение, балансовая стоимость которых составляет 1 009 167,35 тыс. рублей.</w:t>
            </w:r>
          </w:p>
          <w:p>
            <w:pPr>
              <w:pStyle w:val="Normal"/>
              <w:spacing w:lineRule="auto" w:line="240" w:before="0" w:after="0"/>
              <w:jc w:val="both"/>
              <w:rPr/>
            </w:pPr>
            <w:r>
              <w:rPr>
                <w:rFonts w:eastAsia="Calibri"/>
                <w:sz w:val="28"/>
                <w:szCs w:val="28"/>
              </w:rPr>
              <w:t xml:space="preserve"> </w:t>
            </w:r>
            <w:r>
              <w:rPr>
                <w:rFonts w:cs="Times New Roman" w:ascii="Times New Roman" w:hAnsi="Times New Roman"/>
                <w:sz w:val="22"/>
                <w:szCs w:val="22"/>
              </w:rPr>
              <w:t>По состоянию на 01.01.2026 года в реестре муниципального имущества значится 75 сооружений, право муниципальной собственности на которые не зарегистрировано (сооружения газораспределительных сетей, тротуары, памятники), в отношении которых, управлением имущества проводится работа по признанию данных объектов бесхозяйными для последующей регистрации права муниципальной собственности в судебном порядке. Право собственности округа зарегистрировано за всеми прочими объектами недвижимости, включенными в реестр муниципального имущества Туркменского</w:t>
            </w:r>
            <w:r>
              <w:rPr>
                <w:rFonts w:cs="Times New Roman" w:ascii="Times New Roman" w:hAnsi="Times New Roman"/>
                <w:sz w:val="28"/>
                <w:szCs w:val="28"/>
              </w:rPr>
              <w:t xml:space="preserve"> </w:t>
            </w:r>
            <w:r>
              <w:rPr>
                <w:rFonts w:cs="Times New Roman" w:ascii="Times New Roman" w:hAnsi="Times New Roman"/>
                <w:sz w:val="22"/>
                <w:szCs w:val="22"/>
              </w:rPr>
              <w:t>муниципального округа. Всё имущество (за исключением имущества казны), включенное в реестр, закреплено на праве оперативного управления за муниципальными учреждениями. Регистрация права оперативного управления муниципальных учреждений составляет 100% от общего количества объектов, закрепленных за ними.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3.1.4.</w:t>
            </w:r>
          </w:p>
        </w:tc>
        <w:tc>
          <w:tcPr>
            <w:tcW w:w="11058" w:type="dxa"/>
            <w:gridSpan w:val="7"/>
            <w:tcBorders>
              <w:left w:val="single" w:sz="4" w:space="0" w:color="000000"/>
              <w:bottom w:val="single" w:sz="4" w:space="0" w:color="000000"/>
            </w:tcBorders>
          </w:tcPr>
          <w:p>
            <w:pPr>
              <w:pStyle w:val="ConsPlusNormal"/>
              <w:spacing w:before="0" w:after="200"/>
              <w:jc w:val="both"/>
              <w:rPr>
                <w:rFonts w:ascii="Times New Roman" w:hAnsi="Times New Roman" w:cs="Times New Roman"/>
                <w:sz w:val="22"/>
                <w:szCs w:val="22"/>
              </w:rPr>
            </w:pPr>
            <w:r>
              <w:rPr>
                <w:rFonts w:cs="Times New Roman"/>
                <w:sz w:val="22"/>
                <w:szCs w:val="22"/>
              </w:rPr>
              <w:t>Увеличение объемов жилищного строительства</w:t>
            </w:r>
          </w:p>
        </w:tc>
        <w:tc>
          <w:tcPr>
            <w:tcW w:w="3569" w:type="dxa"/>
            <w:tcBorders>
              <w:left w:val="single" w:sz="4" w:space="0" w:color="000000"/>
              <w:bottom w:val="single" w:sz="4" w:space="0" w:color="000000"/>
              <w:right w:val="single" w:sz="4" w:space="0" w:color="000000"/>
            </w:tcBorders>
          </w:tcPr>
          <w:p>
            <w:pPr>
              <w:pStyle w:val="ConsPlusNormal"/>
              <w:snapToGrid w:val="false"/>
              <w:spacing w:before="0" w:after="200"/>
              <w:jc w:val="both"/>
              <w:rPr>
                <w:rFonts w:ascii="Times New Roman" w:hAnsi="Times New Roman" w:cs="Times New Roman"/>
                <w:sz w:val="22"/>
                <w:szCs w:val="22"/>
              </w:rPr>
            </w:pPr>
            <w:r>
              <w:rPr>
                <w:rFonts w:cs="Times New Roman"/>
                <w:sz w:val="22"/>
                <w:szCs w:val="22"/>
              </w:rPr>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а)</w:t>
            </w:r>
          </w:p>
        </w:tc>
        <w:tc>
          <w:tcPr>
            <w:tcW w:w="2863" w:type="dxa"/>
            <w:tcBorders>
              <w:left w:val="single" w:sz="4" w:space="0" w:color="000000"/>
              <w:bottom w:val="single" w:sz="4" w:space="0" w:color="000000"/>
              <w:right w:val="single" w:sz="4" w:space="0" w:color="000000"/>
            </w:tcBorders>
          </w:tcPr>
          <w:p>
            <w:pPr>
              <w:pStyle w:val="ConsPlusNormal"/>
              <w:spacing w:lineRule="auto" w:line="240" w:before="0" w:after="0"/>
              <w:jc w:val="both"/>
              <w:rPr/>
            </w:pPr>
            <w:r>
              <w:rPr>
                <w:rFonts w:cs="Times New Roman"/>
                <w:sz w:val="22"/>
                <w:szCs w:val="22"/>
              </w:rPr>
              <w:t>Содействие населению округа в получении свободных земельных участков для ведения личного подсобного хозяйства и строительства ИЖС</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«Управление имуществом»</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Управление имущественных и земельных отношений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ConsPlusNormal"/>
              <w:spacing w:lineRule="auto" w:line="240" w:before="0" w:after="0"/>
              <w:jc w:val="both"/>
              <w:rPr/>
            </w:pPr>
            <w:r>
              <w:rPr>
                <w:rFonts w:cs="Times New Roman"/>
                <w:sz w:val="22"/>
                <w:szCs w:val="22"/>
              </w:rPr>
              <w:t>Администрация округа оказывает содействие населению округа в получении свободных земельных уч</w:t>
            </w:r>
            <w:r>
              <w:rPr>
                <w:rFonts w:cs="Times New Roman"/>
                <w:sz w:val="22"/>
                <w:szCs w:val="22"/>
                <w:shd w:fill="auto" w:val="clear"/>
              </w:rPr>
              <w:t>астков для ведения личного подсобного хозяйства и строительства ИЖС. За 2025 год заключено 93 договоров аренды земельных участков, 9 договор купли-продажи земель</w:t>
            </w:r>
            <w:r>
              <w:rPr>
                <w:rFonts w:cs="Times New Roman"/>
                <w:sz w:val="22"/>
                <w:szCs w:val="22"/>
                <w:shd w:fill="FFFFFF" w:val="clear"/>
              </w:rPr>
              <w:t>ных участков и объектов недвижимости муниципальной собственности. По состоянию на 01.01.2026 года значится 676 действующих договоров аренды земельных участков с суммой годовой арендной платой 6,0 млн.рублей и площадью 4,8 тыс. гектаров.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б)</w:t>
            </w:r>
          </w:p>
        </w:tc>
        <w:tc>
          <w:tcPr>
            <w:tcW w:w="2863" w:type="dxa"/>
            <w:tcBorders>
              <w:left w:val="single" w:sz="4" w:space="0" w:color="000000"/>
              <w:bottom w:val="single" w:sz="4" w:space="0" w:color="000000"/>
              <w:right w:val="single" w:sz="4" w:space="0" w:color="000000"/>
            </w:tcBorders>
          </w:tcPr>
          <w:p>
            <w:pPr>
              <w:pStyle w:val="ConsPlusNormal"/>
              <w:spacing w:lineRule="auto" w:line="240" w:before="0" w:after="0"/>
              <w:jc w:val="both"/>
              <w:rPr/>
            </w:pPr>
            <w:r>
              <w:rPr>
                <w:rFonts w:cs="Times New Roman"/>
                <w:sz w:val="22"/>
                <w:szCs w:val="22"/>
              </w:rPr>
              <w:t>Проведение анализа объемов жилищного строительства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архитектуры и градостроительства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Ввод в действие жи</w:t>
              <w:softHyphen/>
              <w:t>лых домов</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тыс. кв.м</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color w:val="000000"/>
                <w:sz w:val="22"/>
                <w:szCs w:val="22"/>
                <w:shd w:fill="FFFFFF" w:val="clear"/>
                <w:lang w:eastAsia="ru-RU"/>
              </w:rPr>
              <w:t>Ввод в действие жи</w:t>
              <w:softHyphen/>
              <w:t xml:space="preserve">лых домов за  </w:t>
            </w:r>
            <w:r>
              <w:rPr>
                <w:rFonts w:eastAsia="" w:cs="Times New Roman" w:ascii="Times New Roman" w:hAnsi="Times New Roman"/>
                <w:sz w:val="22"/>
                <w:szCs w:val="22"/>
                <w:shd w:fill="FFFFFF" w:val="clear"/>
                <w:lang w:eastAsia="ru-RU"/>
              </w:rPr>
              <w:t>2025 год составил — 5,621 тыс. кв.м.</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lang w:eastAsia="ru-RU"/>
              </w:rPr>
            </w:pPr>
            <w:r>
              <w:rPr>
                <w:rFonts w:eastAsia="" w:cs="Times New Roman" w:ascii="Times New Roman" w:hAnsi="Times New Roman"/>
                <w:lang w:eastAsia="ru-RU"/>
              </w:rPr>
              <w:t>3.1.5.</w:t>
            </w:r>
          </w:p>
        </w:tc>
        <w:tc>
          <w:tcPr>
            <w:tcW w:w="14627" w:type="dxa"/>
            <w:gridSpan w:val="8"/>
            <w:tcBorders>
              <w:left w:val="single" w:sz="4" w:space="0" w:color="000000"/>
              <w:bottom w:val="single" w:sz="4" w:space="0" w:color="000000"/>
              <w:right w:val="single" w:sz="4" w:space="0" w:color="000000"/>
            </w:tcBorders>
          </w:tcPr>
          <w:p>
            <w:pPr>
              <w:pStyle w:val="ConsPlusNormal"/>
              <w:spacing w:before="0" w:after="200"/>
              <w:jc w:val="both"/>
              <w:rPr>
                <w:rFonts w:ascii="Times New Roman" w:hAnsi="Times New Roman" w:cs="Times New Roman"/>
                <w:sz w:val="22"/>
                <w:szCs w:val="22"/>
              </w:rPr>
            </w:pPr>
            <w:r>
              <w:rPr>
                <w:rFonts w:cs="Times New Roman"/>
                <w:sz w:val="22"/>
                <w:szCs w:val="22"/>
              </w:rPr>
              <w:t>Развитие производства стройматериалов, в том числе за счет привлечения инвестиций и инноваций в создание новых предприятий, обеспечивающих использование энергосберегающих и экологичных технологий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ConsPlusNormal"/>
              <w:spacing w:lineRule="auto" w:line="240" w:before="0" w:after="0"/>
              <w:jc w:val="both"/>
              <w:rPr/>
            </w:pPr>
            <w:r>
              <w:rPr>
                <w:rFonts w:cs="Times New Roman"/>
                <w:sz w:val="22"/>
                <w:szCs w:val="22"/>
              </w:rPr>
              <w:t>Содействие потенциальным инвесторам в открытии (создании) новых предприятий по производству стройматериалов</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экономического разви</w:t>
              <w:softHyphen/>
              <w:t>тия и закупок АТМО СК, от</w:t>
              <w:softHyphen/>
              <w:t>дел  архитектуры и градостроительства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ConsPlusNormal"/>
              <w:spacing w:lineRule="auto" w:line="240" w:before="0" w:after="0"/>
              <w:jc w:val="both"/>
              <w:rPr/>
            </w:pPr>
            <w:r>
              <w:rPr>
                <w:rFonts w:cs="Times New Roman"/>
                <w:sz w:val="22"/>
                <w:szCs w:val="22"/>
              </w:rPr>
              <w:t>Предприятий и индивидуальных предпринимателей, открывших предприятия по производству строительных материалов, не имеется. Администрация ТМО СК окажет содействие потенциальным инвесторам в открытии (создании) новых предприятий по производству стройматериалов.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3.1.6.</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Разработка единой градостроительной концепции пространственного развития и территориального планирования, создание системы нормативно-пра</w:t>
              <w:softHyphen/>
              <w:t>вового регулирования градостроительной деятельности в округе</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Актуализация основных документов территориального планирования и градостроительного зонирования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Муниципальная программа «Развитие градостроительства и архитектуры»</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архитектуры и градостроительства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pPr>
            <w:r>
              <w:rPr>
                <w:rFonts w:eastAsia="" w:cs="Times New Roman" w:ascii="Times New Roman" w:hAnsi="Times New Roman"/>
                <w:sz w:val="22"/>
                <w:szCs w:val="22"/>
                <w:shd w:fill="FFFFFF" w:val="clear"/>
              </w:rPr>
              <w:t xml:space="preserve">Разработаны проекты </w:t>
            </w:r>
            <w:r>
              <w:rPr>
                <w:rFonts w:eastAsia="" w:cs="Times New Roman" w:ascii="Times New Roman" w:hAnsi="Times New Roman"/>
                <w:iCs/>
                <w:sz w:val="22"/>
                <w:szCs w:val="22"/>
                <w:shd w:fill="FFFFFF" w:val="clear"/>
                <w:lang w:eastAsia="ru-RU"/>
              </w:rPr>
              <w:t>документов территориального планирования и градостроительного зонирования. Пройдено согласование с министерствами Ставропольского края.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Разработка и утверждение докумен</w:t>
              <w:softHyphen/>
              <w:t>тации по планировке территории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архитектуры и градостроительства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eastAsia="" w:cs="Times New Roman"/>
                <w:iCs/>
                <w:sz w:val="22"/>
                <w:szCs w:val="22"/>
                <w:shd w:fill="FFFFFF" w:val="clear"/>
                <w:lang w:eastAsia="ru-RU"/>
              </w:rPr>
            </w:pPr>
            <w:r>
              <w:rPr>
                <w:rFonts w:eastAsia="" w:cs="Times New Roman" w:ascii="Times New Roman" w:hAnsi="Times New Roman"/>
                <w:iCs/>
                <w:sz w:val="22"/>
                <w:szCs w:val="22"/>
                <w:shd w:fill="FFFFFF" w:val="clear"/>
                <w:lang w:eastAsia="ru-RU"/>
              </w:rPr>
              <w:t>Разработан проект документации по планировке территории (Генеральный План Туркменского муниципального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Реализация архитектурных и градо</w:t>
              <w:softHyphen/>
              <w:t>строительных проектов с условием создания безбарьерной среды для маломобильных групп населения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архитектуры и градостроительства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pPr>
            <w:r>
              <w:rPr>
                <w:rFonts w:eastAsia="" w:cs="Times New Roman" w:ascii="Times New Roman" w:hAnsi="Times New Roman"/>
                <w:sz w:val="22"/>
                <w:szCs w:val="22"/>
                <w:shd w:fill="FFFFFF" w:val="clear"/>
              </w:rPr>
              <w:t xml:space="preserve">При проектировании нового строительства в проектной документации включен раздел </w:t>
            </w:r>
            <w:r>
              <w:rPr>
                <w:rFonts w:eastAsia="" w:cs="Times New Roman" w:ascii="Times New Roman" w:hAnsi="Times New Roman"/>
                <w:sz w:val="22"/>
                <w:szCs w:val="22"/>
                <w:shd w:fill="FFFFFF" w:val="clear"/>
                <w:lang w:eastAsia="ru-RU"/>
              </w:rPr>
              <w:t>создания безбарьерной среды для маломобильных групп населения.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Обеспечение соблюдения нормативов градостроительного проектирования.</w:t>
            </w:r>
          </w:p>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архитектуры и градостроительства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При проектировании нового строительства в проектной документации соблюдаются нормативы градостроительного проектиро</w:t>
              <w:softHyphen/>
              <w:t>вания.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lang w:eastAsia="ru-RU"/>
              </w:rPr>
            </w:pPr>
            <w:r>
              <w:rPr>
                <w:rFonts w:eastAsia="" w:cs="Times New Roman" w:ascii="Times New Roman" w:hAnsi="Times New Roman"/>
                <w:lang w:eastAsia="ru-RU"/>
              </w:rPr>
              <w:t>3.1.7.</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Совершенствование системы правовых актов, регулирующих правоотношения в области землепользования и застройки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iCs/>
              </w:rPr>
            </w:pPr>
            <w:r>
              <w:rPr>
                <w:rFonts w:cs="Times New Roman" w:ascii="Times New Roman" w:hAnsi="Times New Roman"/>
                <w:iCs/>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Мониторинг Правил землепользования и застройки округа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sz w:val="22"/>
                <w:szCs w:val="22"/>
                <w:lang w:eastAsia="ru-RU"/>
              </w:rPr>
              <w:t>Отдел  архитектуры и градостроительства АТМО СК, у</w:t>
            </w:r>
            <w:r>
              <w:rPr>
                <w:rFonts w:eastAsia="" w:cs="Times New Roman" w:ascii="Times New Roman" w:hAnsi="Times New Roman"/>
                <w:sz w:val="22"/>
                <w:szCs w:val="22"/>
                <w:shd w:fill="FFFFFF" w:val="clear"/>
                <w:lang w:eastAsia="ru-RU"/>
              </w:rPr>
              <w:t>правление имущественных и земельных отношений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shd w:fill="FFFFFF" w:val="clear"/>
                <w:lang w:eastAsia="ru-RU"/>
              </w:rPr>
            </w:pPr>
            <w:r>
              <w:rPr>
                <w:rFonts w:eastAsia="" w:cs="Times New Roman" w:ascii="Times New Roman" w:hAnsi="Times New Roman"/>
                <w:iCs/>
                <w:sz w:val="22"/>
                <w:szCs w:val="22"/>
                <w:shd w:fill="FFFFFF" w:val="clear"/>
                <w:lang w:eastAsia="ru-RU"/>
              </w:rPr>
              <w:t>Правила землепользова</w:t>
              <w:softHyphen/>
              <w:t>ния и застройки округа ТМО СК разрабатываются с соблюдением действующих нормативно правовых актов.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Размещение в информационно-телекоммуникационной сети «Интернет» и опубликование в средствах массовой информации муниципальных правовых актов округа в области землепользования и градостроительства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sz w:val="22"/>
                <w:szCs w:val="22"/>
                <w:lang w:eastAsia="ru-RU"/>
              </w:rPr>
              <w:t>Отдел  архитектуры и градостроительства АТМО СК, у</w:t>
            </w:r>
            <w:r>
              <w:rPr>
                <w:rFonts w:eastAsia="" w:cs="Times New Roman" w:ascii="Times New Roman" w:hAnsi="Times New Roman"/>
                <w:sz w:val="22"/>
                <w:szCs w:val="22"/>
                <w:shd w:fill="FFFFFF" w:val="clear"/>
                <w:lang w:eastAsia="ru-RU"/>
              </w:rPr>
              <w:t>правление имущественных и земельных отношений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В информационно-телекоммуникационной сети «Интернет» размещаются правовые акты АТМО СК в области землепользования и градостроитель</w:t>
              <w:softHyphen/>
              <w:t>ства. За 2025 год размещено 5 информации.</w:t>
            </w:r>
          </w:p>
          <w:p>
            <w:pPr>
              <w:pStyle w:val="Normal"/>
              <w:spacing w:lineRule="auto" w:line="240" w:before="0" w:after="0"/>
              <w:jc w:val="both"/>
              <w:rPr/>
            </w:pPr>
            <w:r>
              <w:rPr>
                <w:rFonts w:eastAsia="Times New Roman" w:cs="Times New Roman" w:ascii="Times New Roman" w:hAnsi="Times New Roman"/>
                <w:sz w:val="22"/>
                <w:szCs w:val="22"/>
                <w:shd w:fill="FFFFFF" w:val="clear"/>
                <w:lang w:eastAsia="ru-RU"/>
              </w:rPr>
              <w:t xml:space="preserve"> </w:t>
            </w:r>
            <w:r>
              <w:rPr>
                <w:rFonts w:eastAsia="" w:cs="Times New Roman" w:ascii="Times New Roman" w:hAnsi="Times New Roman"/>
                <w:sz w:val="22"/>
                <w:szCs w:val="22"/>
                <w:shd w:fill="FFFFFF" w:val="clear"/>
                <w:lang w:eastAsia="ru-RU"/>
              </w:rPr>
              <w:t>В средствах массо</w:t>
              <w:softHyphen/>
              <w:t>вой информации публикуются муниципальные правовые акты округа в области землепользования и градостроитель</w:t>
              <w:softHyphen/>
              <w:t>ства. За 2025 год размещено 5 информации.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Наполнение информационной системы обеспечения градостроительной деятельности, доступной для пользователей в информационно-телекоммуникационной сети «Интернет», необходимыми сведениями, документами и материалами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Муниципальная программа «Развитие гра</w:t>
              <w:softHyphen/>
              <w:t>достроительства и архитектуры»</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архитектуры и градо</w:t>
              <w:softHyphen/>
              <w:t>строительства АТМО СК</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Количество сведе</w:t>
              <w:softHyphen/>
              <w:t>ний, документов и материалов, размещенных в государственной информационной системе обес</w:t>
              <w:softHyphen/>
              <w:t>печения градостроительной деятельности и федеральной государственной информационной системе территориального планирования</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x</w:t>
            </w:r>
          </w:p>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sz w:val="22"/>
                <w:szCs w:val="22"/>
                <w:shd w:fill="FFFFFF" w:val="clear"/>
                <w:lang w:eastAsia="ru-RU"/>
              </w:rPr>
              <w:t>За 2025 год в в информационно-телекоммуникационной сети «Интер</w:t>
              <w:softHyphen/>
              <w:t xml:space="preserve">нет» в </w:t>
            </w:r>
            <w:r>
              <w:rPr>
                <w:rFonts w:eastAsia="" w:cs="Times New Roman" w:ascii="Times New Roman" w:hAnsi="Times New Roman"/>
                <w:color w:val="000000"/>
                <w:sz w:val="22"/>
                <w:szCs w:val="22"/>
                <w:shd w:fill="FFFFFF" w:val="clear"/>
                <w:lang w:eastAsia="ru-RU"/>
              </w:rPr>
              <w:t>государст</w:t>
              <w:softHyphen/>
              <w:t>венной информаци</w:t>
              <w:softHyphen/>
              <w:t>онной системе обес</w:t>
              <w:softHyphen/>
              <w:t>печения градострои</w:t>
              <w:softHyphen/>
              <w:t>тельной деятельности и федеральной госу</w:t>
              <w:softHyphen/>
              <w:t>дарственной инфор</w:t>
              <w:softHyphen/>
              <w:t>мационной системе территориального планирования</w:t>
            </w:r>
            <w:r>
              <w:rPr>
                <w:rFonts w:eastAsia="" w:cs="Times New Roman" w:ascii="Times New Roman" w:hAnsi="Times New Roman"/>
                <w:sz w:val="22"/>
                <w:szCs w:val="22"/>
                <w:shd w:fill="FFFFFF" w:val="clear"/>
                <w:lang w:eastAsia="ru-RU"/>
              </w:rPr>
              <w:t xml:space="preserve"> размещено 135 сведений.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3.1.8.</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Внедрение современных энергосберегающих технологий  в градостроительстве, проектировании и строительстве объектов капитального строитель</w:t>
              <w:softHyphen/>
              <w:t>ства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Times New Roman" w:cs="Times New Roman" w:ascii="Times New Roman" w:hAnsi="Times New Roman"/>
                <w:sz w:val="22"/>
                <w:szCs w:val="22"/>
                <w:lang w:eastAsia="ru-RU"/>
              </w:rPr>
              <w:t xml:space="preserve"> </w:t>
            </w:r>
            <w:r>
              <w:rPr>
                <w:rFonts w:eastAsia="" w:cs="Times New Roman" w:ascii="Times New Roman" w:hAnsi="Times New Roman"/>
                <w:iCs/>
                <w:sz w:val="22"/>
                <w:szCs w:val="22"/>
                <w:lang w:eastAsia="ru-RU"/>
              </w:rPr>
              <w:t>Разработка градостроительной и проектной документации в условиях дефицита территории для застройки, снижение потребности в коммунальных, транспортных коммуникациях, материальных ре</w:t>
              <w:softHyphen/>
              <w:t>сурсах  и энергопотреблении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Муниципальная программа «Развитие градостроительства и архитектуры»</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архитектуры и градо</w:t>
              <w:softHyphen/>
              <w:t>строительства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shd w:fill="FFFFFF" w:val="clear"/>
                <w:lang w:eastAsia="ru-RU"/>
              </w:rPr>
            </w:pPr>
            <w:r>
              <w:rPr>
                <w:rFonts w:eastAsia="" w:cs="Times New Roman" w:ascii="Times New Roman" w:hAnsi="Times New Roman"/>
                <w:iCs/>
                <w:sz w:val="22"/>
                <w:szCs w:val="22"/>
                <w:shd w:fill="FFFFFF" w:val="clear"/>
                <w:lang w:eastAsia="ru-RU"/>
              </w:rPr>
              <w:t>При возникновении дефицита территории для застройки, увеличении  потребности в коммунальных, транспортных коммуникациях, материальных ресурсах  и энергопотреблении, при проектировании будут учтены сложившиеся условия.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shd w:fill="FFFFFF" w:val="clear"/>
              </w:rPr>
            </w:pPr>
            <w:r>
              <w:rPr>
                <w:rFonts w:cs="Times New Roman" w:ascii="Times New Roman" w:hAnsi="Times New Roman"/>
                <w:sz w:val="24"/>
                <w:szCs w:val="24"/>
                <w:shd w:fill="FFFFFF" w:val="clear"/>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Применение долговечных, высоко</w:t>
              <w:softHyphen/>
              <w:t>эффективных материалов, приборов учета используемых энергетических ресурсов, технологии «умный дом»</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Внепрограммное ме</w:t>
              <w:softHyphen/>
              <w:t>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Ресурсоснабжающие органи</w:t>
              <w:softHyphen/>
              <w:t>зации округа</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Ресурсоснабжающими органи</w:t>
              <w:softHyphen/>
              <w:t>зациями округа вводятся новые технологии по применению  высоко</w:t>
              <w:softHyphen/>
              <w:t>эффективных материалов, приборов учета используемых энергетических ресурсов, технологий «умный дом».</w:t>
            </w:r>
          </w:p>
        </w:tc>
      </w:tr>
      <w:tr>
        <w:trPr/>
        <w:tc>
          <w:tcPr>
            <w:tcW w:w="7192" w:type="dxa"/>
            <w:gridSpan w:val="5"/>
            <w:vMerge w:val="restart"/>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hd w:fill="FFFFFF" w:val="clear"/>
              </w:rPr>
            </w:pPr>
            <w:r>
              <w:rPr>
                <w:rFonts w:eastAsia="" w:cs="Times New Roman" w:ascii="Times New Roman" w:hAnsi="Times New Roman"/>
                <w:b/>
                <w:bCs/>
                <w:sz w:val="22"/>
                <w:szCs w:val="22"/>
                <w:shd w:fill="FFFFFF" w:val="clear"/>
              </w:rPr>
              <w:t>3.2. Рациональное управление и распоряжение имуществом и земельными ресурсами</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Площадь земельных участков, представ</w:t>
              <w:softHyphen/>
              <w:t>ленных для строи</w:t>
              <w:softHyphen/>
              <w:t>тельства в расчете на 10 тыс. населения</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га</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Площадь земельных участков, представ</w:t>
              <w:softHyphen/>
              <w:t>ленных для строительства в расчете на 10 тыс. населения — 0,47 га.</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4"/>
                <w:szCs w:val="24"/>
                <w:lang w:eastAsia="ru-RU"/>
              </w:rPr>
            </w:pPr>
            <w:r>
              <w:rPr>
                <w:rFonts w:eastAsia="" w:cs="Times New Roman" w:ascii="Times New Roman" w:hAnsi="Times New Roman"/>
                <w:sz w:val="24"/>
                <w:szCs w:val="24"/>
                <w:lang w:eastAsia="ru-RU"/>
              </w:rPr>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Общая площадь жи</w:t>
              <w:softHyphen/>
              <w:t>лых помещений, приходящаяся в среднем на одного жителя, - всего,</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кв.м</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shd w:fill="FFFFFF" w:val="clear"/>
                <w:lang w:eastAsia="ru-RU"/>
              </w:rPr>
            </w:pPr>
            <w:r>
              <w:rPr>
                <w:rFonts w:eastAsia="" w:cs="Times New Roman" w:ascii="Times New Roman" w:hAnsi="Times New Roman"/>
                <w:color w:val="000000"/>
                <w:sz w:val="22"/>
                <w:szCs w:val="22"/>
                <w:shd w:fill="FFFFFF" w:val="clear"/>
                <w:lang w:eastAsia="ru-RU"/>
              </w:rPr>
              <w:t>Общая площадь жи</w:t>
              <w:softHyphen/>
              <w:t>лых помещений, приходящаяся в среднем на одного жителя, - всего 27,9 кв.м</w:t>
            </w:r>
          </w:p>
        </w:tc>
      </w:tr>
      <w:tr>
        <w:trPr/>
        <w:tc>
          <w:tcPr>
            <w:tcW w:w="7192" w:type="dxa"/>
            <w:gridSpan w:val="5"/>
            <w:vMerge w:val="continue"/>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4"/>
                <w:szCs w:val="24"/>
                <w:lang w:eastAsia="ru-RU"/>
              </w:rPr>
            </w:pPr>
            <w:r>
              <w:rPr>
                <w:rFonts w:eastAsia="" w:cs="Times New Roman" w:ascii="Times New Roman" w:hAnsi="Times New Roman"/>
                <w:sz w:val="24"/>
                <w:szCs w:val="24"/>
                <w:lang w:eastAsia="ru-RU"/>
              </w:rPr>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cs="Times New Roman"/>
                <w:sz w:val="22"/>
                <w:szCs w:val="22"/>
                <w:lang w:eastAsia="ru-RU"/>
              </w:rPr>
            </w:pPr>
            <w:r>
              <w:rPr>
                <w:rFonts w:cs="Times New Roman" w:ascii="Times New Roman" w:hAnsi="Times New Roman"/>
                <w:sz w:val="22"/>
                <w:szCs w:val="22"/>
                <w:lang w:eastAsia="ru-RU"/>
              </w:rPr>
              <w:t>в том числе</w:t>
            </w:r>
          </w:p>
          <w:p>
            <w:pPr>
              <w:pStyle w:val="Normal"/>
              <w:spacing w:lineRule="auto" w:line="240" w:before="0" w:after="0"/>
              <w:jc w:val="both"/>
              <w:rPr>
                <w:rFonts w:ascii="Times New Roman" w:hAnsi="Times New Roman" w:cs="Times New Roman"/>
                <w:sz w:val="22"/>
                <w:szCs w:val="22"/>
                <w:lang w:eastAsia="ru-RU"/>
              </w:rPr>
            </w:pPr>
            <w:r>
              <w:rPr>
                <w:rFonts w:cs="Times New Roman" w:ascii="Times New Roman" w:hAnsi="Times New Roman"/>
                <w:sz w:val="22"/>
                <w:szCs w:val="22"/>
                <w:lang w:eastAsia="ru-RU"/>
              </w:rPr>
              <w:t>введенная в действие в среднем на одного жителя</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lang w:eastAsia="ru-RU"/>
              </w:rPr>
            </w:pPr>
            <w:r>
              <w:rPr>
                <w:rFonts w:cs="Times New Roman" w:ascii="Times New Roman" w:hAnsi="Times New Roman"/>
                <w:sz w:val="22"/>
                <w:szCs w:val="22"/>
                <w:lang w:eastAsia="ru-RU"/>
              </w:rPr>
              <w:t>кв.м</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lang w:eastAsia="ru-RU"/>
              </w:rPr>
            </w:pPr>
            <w:r>
              <w:rPr>
                <w:rFonts w:cs="Times New Roman" w:ascii="Times New Roman" w:hAnsi="Times New Roman"/>
                <w:sz w:val="22"/>
                <w:szCs w:val="22"/>
                <w:shd w:fill="FFFFFF" w:val="clear"/>
                <w:lang w:eastAsia="ru-RU"/>
              </w:rPr>
              <w:t>в том числе введенная в действие в среднем на одного жителя — 0,259 кв.м.</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3.2.1.</w:t>
            </w:r>
          </w:p>
        </w:tc>
        <w:tc>
          <w:tcPr>
            <w:tcW w:w="14627" w:type="dxa"/>
            <w:gridSpan w:val="8"/>
            <w:tcBorders>
              <w:left w:val="single" w:sz="4" w:space="0" w:color="000000"/>
              <w:bottom w:val="single" w:sz="4" w:space="0" w:color="000000"/>
              <w:right w:val="single" w:sz="4" w:space="0" w:color="000000"/>
            </w:tcBorders>
          </w:tcPr>
          <w:p>
            <w:pPr>
              <w:pStyle w:val="Normal"/>
              <w:spacing w:before="0" w:after="143"/>
              <w:jc w:val="both"/>
              <w:rPr>
                <w:rFonts w:ascii="Times New Roman" w:hAnsi="Times New Roman" w:cs="Times New Roman"/>
                <w:sz w:val="22"/>
                <w:szCs w:val="22"/>
              </w:rPr>
            </w:pPr>
            <w:r>
              <w:rPr>
                <w:rFonts w:cs="Times New Roman" w:ascii="Times New Roman" w:hAnsi="Times New Roman"/>
                <w:sz w:val="22"/>
                <w:szCs w:val="22"/>
              </w:rPr>
              <w:t>Повышение эффективности использования земельных участков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Осуществление муниципального земельного контроля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«Управление имуществом»</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Управление имущественных и земельных отношений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rPr>
              <w:t xml:space="preserve">Решением Совета округа в соответствии с  </w:t>
            </w:r>
            <w:r>
              <w:rPr>
                <w:rFonts w:cs="Times New Roman" w:ascii="Times New Roman" w:hAnsi="Times New Roman"/>
                <w:color w:val="000000"/>
                <w:sz w:val="22"/>
                <w:szCs w:val="22"/>
              </w:rPr>
              <w:t>Федеральным законом от 31  июля 2020 года      № 248-ФЗ «О государственном контроле (надзоре) и муниципальном контроле в Российской Федерации»</w:t>
            </w:r>
            <w:r>
              <w:rPr>
                <w:rFonts w:cs="Times New Roman" w:ascii="Times New Roman" w:hAnsi="Times New Roman"/>
                <w:sz w:val="22"/>
                <w:szCs w:val="22"/>
              </w:rPr>
              <w:t xml:space="preserve"> утвержден Порядок осуществления муниципального земельного контроля на территории Туркменского муниципального округа Ставропольского края, полномочия по проведению которого возложены на управление имущес</w:t>
            </w:r>
            <w:r>
              <w:rPr>
                <w:rFonts w:cs="Times New Roman" w:ascii="Times New Roman" w:hAnsi="Times New Roman"/>
                <w:sz w:val="22"/>
                <w:szCs w:val="22"/>
                <w:shd w:fill="auto" w:val="clear"/>
              </w:rPr>
              <w:t xml:space="preserve">твенных и земельных отношений АТМО СК. </w:t>
            </w:r>
            <w:r>
              <w:rPr>
                <w:rFonts w:cs="Times New Roman" w:ascii="Times New Roman" w:hAnsi="Times New Roman"/>
                <w:color w:val="000000"/>
                <w:sz w:val="22"/>
                <w:szCs w:val="22"/>
                <w:shd w:fill="auto" w:val="clear"/>
              </w:rPr>
              <w:t>В 2025 году в рамках муниципального земельного контроля было проведено 8 профилактических  мероприятий, по результатам которых было выдано 4 предостережения о недопустимости нарушения обязательных требований.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Проведение инвентаризации земель с целью выявления свободных зе</w:t>
              <w:softHyphen/>
              <w:t>мельных участков</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«Управление имуществом»</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Управление имущественных и земельных отношений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ind w:right="0"/>
              <w:jc w:val="both"/>
              <w:rPr>
                <w:rFonts w:ascii="Times New Roman" w:hAnsi="Times New Roman" w:cs="Times New Roman"/>
                <w:color w:val="000000"/>
                <w:sz w:val="22"/>
                <w:szCs w:val="22"/>
              </w:rPr>
            </w:pPr>
            <w:r>
              <w:rPr>
                <w:rFonts w:cs="Times New Roman" w:ascii="Times New Roman" w:hAnsi="Times New Roman"/>
                <w:color w:val="000000"/>
                <w:sz w:val="22"/>
                <w:szCs w:val="22"/>
              </w:rPr>
              <w:t>В 2025 году в муниципальную собственность округа включены 99 земельных участков, из них 2 земельных участков сельскохозяйственного назначения, вследствие регистрации права собственности включено в реестр муниципального имущества также 45 объектов недвижимости (сооружения – памятники, автомобильные дороги, детские и спортивные площадки и т. д.).</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Вовлечение в оборот земельных участков в случае выявления неосвоенных земель</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«Управление имуществом»</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Управление имущественных и земельных отношений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ConsPlusNormal"/>
              <w:spacing w:lineRule="auto" w:line="240" w:before="0" w:after="0"/>
              <w:jc w:val="both"/>
              <w:rPr/>
            </w:pPr>
            <w:r>
              <w:rPr>
                <w:sz w:val="22"/>
                <w:szCs w:val="22"/>
                <w:shd w:fill="auto" w:val="clear"/>
              </w:rPr>
              <w:t>За 2025 год заключено 93 договоров аренды земельных участков, 9 договор купли-продажи земель</w:t>
            </w:r>
            <w:r>
              <w:rPr>
                <w:sz w:val="22"/>
                <w:szCs w:val="22"/>
                <w:shd w:fill="FFFFFF" w:val="clear"/>
              </w:rPr>
              <w:t>ных участков и объектов недвижимости муниципальной собственности. По состоянию на 01.01.2026 года значится 676 действующих договоров аренды земельных участков с суммой годовой арендной платой 6,0 млн.рублей и площадью 4,8 тыс. гектаров.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Реализация права на заключение договоров аренды земельных участков путем проведения торгов (конкур</w:t>
              <w:softHyphen/>
              <w:t>сов, аукционов)</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«Управление имуществом»</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Управление имущественных и земельных отношений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ConsPlusNormal"/>
              <w:spacing w:lineRule="auto" w:line="240" w:before="0" w:after="0"/>
              <w:jc w:val="both"/>
              <w:rPr/>
            </w:pPr>
            <w:r>
              <w:rPr>
                <w:sz w:val="22"/>
                <w:szCs w:val="22"/>
                <w:shd w:fill="auto" w:val="clear"/>
              </w:rPr>
              <w:t>За 2025 год заключено 93 договоров аренды земельных участков, 9 договор купли-продажи земель</w:t>
            </w:r>
            <w:r>
              <w:rPr>
                <w:sz w:val="22"/>
                <w:szCs w:val="22"/>
                <w:shd w:fill="FFFFFF" w:val="clear"/>
              </w:rPr>
              <w:t>ных участков и объектов недвижимости муниципальной собственности. По состоянию на 01.01.2026 года значится 676 действующих договоров аренды земельных участков с суммой годовой арендной платой 6,0 млн.рублей и площадью 4,8 тыс. гектаров.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3.2.2.</w:t>
            </w:r>
          </w:p>
        </w:tc>
        <w:tc>
          <w:tcPr>
            <w:tcW w:w="11058" w:type="dxa"/>
            <w:gridSpan w:val="7"/>
            <w:tcBorders>
              <w:left w:val="single" w:sz="4" w:space="0" w:color="000000"/>
              <w:bottom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Повышение эффективности использования муниципального имущества</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Регистрация права муниципальной собственности на объекты муниципального имущества, включенные в реестр муниципального имущества и не прошедшие государственную  ре</w:t>
              <w:softHyphen/>
              <w:t>гистрацию прав</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«Управление имуществом»</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Управление имущественных и земельных отношений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r>
          </w:p>
          <w:p>
            <w:pPr>
              <w:pStyle w:val="Normal"/>
              <w:snapToGrid w:val="false"/>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ind w:right="0"/>
              <w:jc w:val="both"/>
              <w:rPr>
                <w:rFonts w:ascii="Times New Roman" w:hAnsi="Times New Roman" w:cs="Times New Roman"/>
                <w:sz w:val="22"/>
                <w:szCs w:val="22"/>
              </w:rPr>
            </w:pPr>
            <w:r>
              <w:rPr>
                <w:rFonts w:cs="Times New Roman" w:ascii="Times New Roman" w:hAnsi="Times New Roman"/>
                <w:sz w:val="22"/>
                <w:szCs w:val="22"/>
              </w:rPr>
              <w:t>По состоянию на 01.01.2026 года в реестре муниципального имущества значится 75 сооружений, право муниципальной собственности на которые не зарегистрировано (сооружения газораспределительных сетей, тротуары, памятники), в отношении которых управлением имущества проведена работа по признанию данных объектов бесхозяйными для последующей регистрации права муниципальной собственности в судебном порядке. Право собственности ТМО зарегистрировано за всеми прочими объектами недвижимости, включенными в реестр муниципального имущества ТМО. Всё имущество (за исключением имущества казны), включенное в реестр, закреплено на праве оперативного управления за муниципальными учреждениями. Регистрация права оперативного управления муниципальных учреждений составляет 100% от общего количества объектов, закрепленных за ними.</w:t>
            </w:r>
          </w:p>
          <w:p>
            <w:pPr>
              <w:pStyle w:val="Normal"/>
              <w:spacing w:lineRule="auto" w:line="240" w:before="0" w:after="0"/>
              <w:ind w:right="0"/>
              <w:jc w:val="both"/>
              <w:rPr>
                <w:sz w:val="28"/>
                <w:szCs w:val="28"/>
              </w:rPr>
            </w:pPr>
            <w:r>
              <w:rPr>
                <w:rFonts w:cs="Times New Roman" w:ascii="Times New Roman" w:hAnsi="Times New Roman"/>
                <w:sz w:val="22"/>
                <w:szCs w:val="22"/>
              </w:rPr>
              <w:t>Во исполнение решений Туркменского районного суда поставлены на кадастровый учёт и приняты в муниципальную собственность 32 автомобильные дороги, 4 ГТС и 21  земельный участок под детскими и спортивными площадками.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Исполнение Прогнозного плана (программы) приватизации муниципального имущества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Управление имущественных и земельных отношений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p>
            <w:pPr>
              <w:pStyle w:val="Normal"/>
              <w:snapToGrid w:val="false"/>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Исполнено на 100%.</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Увеличение поступлений в местный бюджет от использования муниципального имущества, составляющего муниципальную казну округа, за счет уменьшения количества пустующих помещений путем вовлече</w:t>
              <w:softHyphen/>
              <w:t>ния их в хозяйственный оборот</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«Управление имуществом»</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Управление имущественных и земельных отношений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p>
            <w:pPr>
              <w:pStyle w:val="Normal"/>
              <w:snapToGrid w:val="false"/>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p>
            <w:pPr>
              <w:pStyle w:val="Normal"/>
              <w:snapToGrid w:val="false"/>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p>
            <w:pPr>
              <w:pStyle w:val="Normal"/>
              <w:snapToGrid w:val="false"/>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color w:val="000000"/>
                <w:sz w:val="22"/>
                <w:szCs w:val="22"/>
              </w:rPr>
              <w:t>Доходы, поступающие в бюджет округа от управления и распоряжения имуществом в 2025 году составили 6990,84 тыс. рублей.</w:t>
            </w:r>
            <w:r>
              <w:rPr>
                <w:color w:val="000000"/>
                <w:sz w:val="28"/>
                <w:szCs w:val="28"/>
              </w:rPr>
              <w:t xml:space="preserve"> </w:t>
            </w:r>
            <w:r>
              <w:rPr>
                <w:rFonts w:cs="Times New Roman" w:ascii="Times New Roman" w:hAnsi="Times New Roman"/>
                <w:color w:val="000000"/>
                <w:sz w:val="22"/>
                <w:szCs w:val="22"/>
              </w:rPr>
              <w:t>Это 3108,88 тыс. рублей - доходы от аренды земельных участков, государственная собственность на которые не разграничена, 2572,97 тыс. рублей от аренды земельных участков муниципальной собственности округа, 523,89 тыс. рублей от продажи земельных участков, на которых расположены объекты недвижимости, принадлежащие на праве собственности юридическим и физическим лицам, 409,09 тыс. рублей доходы от сдачи в аренду имущества, находящегося в оперативном управлении органов управления, 376,01 тыс. рублей от реализации имущества находящегося в оперативном управлении.</w:t>
            </w:r>
          </w:p>
          <w:p>
            <w:pPr>
              <w:pStyle w:val="Normal"/>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Проведена претензионная работа. В 2025 году арендаторам земельных участков направлено претензий на сумму 272,9 тыс. рублей основного долга по арендной плате. 95% предъявленной суммы должниками погашено. В отношении должников, не погасивших задолженность на оснований уведомлений и претензий, направлено 3  исковых заявления в суд о взыскании задолженности и расторжении договоров аренды.</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д)</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Увеличение перечня муниципаль</w:t>
              <w:softHyphen/>
              <w:t>ного имущества, предназначенного для предоставления в долгосрочную аренду субъектам малого и среднего предпринимательства и организа</w:t>
              <w:softHyphen/>
              <w:t>циям, образующим инфраструктуру поддержки субъектов малого и сред</w:t>
              <w:softHyphen/>
              <w:t>него предпринимательства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Управление имущественных и земельных отношений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p>
            <w:pPr>
              <w:pStyle w:val="Normal"/>
              <w:snapToGrid w:val="false"/>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p>
            <w:pPr>
              <w:pStyle w:val="Normal"/>
              <w:snapToGrid w:val="false"/>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r>
          </w:p>
          <w:p>
            <w:pPr>
              <w:pStyle w:val="Normal"/>
              <w:snapToGrid w:val="false"/>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 перечень муниципального имущества, предназначенного для предоставления в долгосрочную аренду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2025 году добавлено 2 объекта.</w:t>
            </w:r>
          </w:p>
        </w:tc>
      </w:tr>
      <w:tr>
        <w:trPr/>
        <w:tc>
          <w:tcPr>
            <w:tcW w:w="15353" w:type="dxa"/>
            <w:gridSpan w:val="9"/>
            <w:tcBorders>
              <w:left w:val="single" w:sz="4" w:space="0" w:color="000000"/>
              <w:bottom w:val="single" w:sz="4" w:space="0" w:color="000000"/>
              <w:right w:val="single" w:sz="4" w:space="0" w:color="000000"/>
            </w:tcBorders>
          </w:tcPr>
          <w:p>
            <w:pPr>
              <w:pStyle w:val="Normal"/>
              <w:spacing w:before="0" w:after="143"/>
              <w:jc w:val="left"/>
              <w:rPr>
                <w:rFonts w:ascii="Times New Roman" w:hAnsi="Times New Roman" w:cs="Times New Roman"/>
                <w:sz w:val="22"/>
                <w:szCs w:val="22"/>
              </w:rPr>
            </w:pPr>
            <w:r>
              <w:rPr>
                <w:rFonts w:cs="Times New Roman" w:ascii="Times New Roman" w:hAnsi="Times New Roman"/>
                <w:b/>
                <w:bCs/>
                <w:sz w:val="22"/>
                <w:szCs w:val="22"/>
              </w:rPr>
              <w:t>3.3. Жилищно-коммунальное хозяйство</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3.3.1.</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Создание условий для формирования современной и эффективной системы оказания жилищно-коммунальных услуг населению и формирование вы</w:t>
              <w:softHyphen/>
              <w:t>сокотехнологичных, конкурентоспособных отраслей жилищно-коммунального хозяйства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sz w:val="22"/>
                <w:szCs w:val="22"/>
                <w:lang w:eastAsia="ru-RU"/>
              </w:rPr>
              <w:t>Обеспечение жильем молодых семей в округе  в рамках Федерального проекта «</w:t>
            </w:r>
            <w:r>
              <w:rPr>
                <w:rFonts w:eastAsia="" w:cs="Times New Roman" w:ascii="Times New Roman" w:hAnsi="Times New Roman"/>
                <w:color w:val="000000"/>
                <w:sz w:val="22"/>
                <w:szCs w:val="22"/>
                <w:lang w:eastAsia="ru-RU"/>
              </w:rP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Pr>
                <w:rFonts w:eastAsia="" w:cs="Times New Roman" w:ascii="Times New Roman" w:hAnsi="Times New Roman"/>
                <w:sz w:val="22"/>
                <w:szCs w:val="22"/>
                <w:lang w:eastAsia="ru-RU"/>
              </w:rPr>
              <w:t>», государственной программы РФ «Обеспечение  доступным и комфортным жильем и коммунальными услугами граждан РФ»</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жилищно-коммунального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муниципального хозяйства, транспорта , до</w:t>
              <w:softHyphen/>
              <w:t>рожной деятельности  АТМО СК, территориальные управ</w:t>
              <w:softHyphen/>
              <w:t>ления  АТМО СК</w:t>
            </w:r>
          </w:p>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Количество свиде</w:t>
              <w:softHyphen/>
              <w:t>тельств о праве на получение социальной выплаты на при</w:t>
              <w:softHyphen/>
              <w:t>обретение (строи</w:t>
              <w:softHyphen/>
              <w:t>тельство) жилого по</w:t>
              <w:softHyphen/>
              <w:t>мещения</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widowControl/>
              <w:suppressAutoHyphens w:val="false"/>
              <w:bidi w:val="0"/>
              <w:spacing w:lineRule="auto" w:line="240" w:before="0" w:after="0"/>
              <w:ind w:right="0"/>
              <w:jc w:val="both"/>
              <w:rPr/>
            </w:pPr>
            <w:r>
              <w:rPr>
                <w:rFonts w:cs="Times New Roman" w:ascii="Times New Roman" w:hAnsi="Times New Roman"/>
                <w:sz w:val="22"/>
                <w:szCs w:val="22"/>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в 2025 году предусмотрено бюджетных средств, направленных на социальную выплату по приобретению жилья в сумме</w:t>
            </w:r>
            <w:r>
              <w:rPr>
                <w:rFonts w:cs="Times New Roman" w:ascii="Times New Roman" w:hAnsi="Times New Roman"/>
                <w:sz w:val="22"/>
                <w:szCs w:val="22"/>
                <w:shd w:fill="auto" w:val="clear"/>
              </w:rPr>
              <w:t xml:space="preserve"> 1249,98 тыс. рублей, в том числе средства федерального бюджета — 1,064 млн. рублей, средства бюджета Ставропольского края — 0,056 млн. рублей, средства бюджета Туркменского муниципального округа Ставропольского края — 129,59 тыс. рублей. </w:t>
            </w:r>
            <w:r>
              <w:rPr>
                <w:rFonts w:cs="Times New Roman" w:ascii="Times New Roman" w:hAnsi="Times New Roman"/>
                <w:sz w:val="22"/>
                <w:szCs w:val="22"/>
              </w:rPr>
              <w:t>Кассовое исполнение за 2025 год составило 1179,36 тыс. рублей. Жилье приобрел</w:t>
            </w:r>
            <w:r>
              <w:rPr>
                <w:rFonts w:cs="Times New Roman" w:ascii="Times New Roman" w:hAnsi="Times New Roman"/>
                <w:b w:val="false"/>
                <w:bCs w:val="false"/>
                <w:sz w:val="22"/>
                <w:szCs w:val="22"/>
                <w:u w:val="none"/>
              </w:rPr>
              <w:t>а од</w:t>
            </w:r>
            <w:r>
              <w:rPr>
                <w:rFonts w:cs="Times New Roman" w:ascii="Times New Roman" w:hAnsi="Times New Roman"/>
                <w:sz w:val="22"/>
                <w:szCs w:val="22"/>
              </w:rPr>
              <w:t>на семья в составе 6 человек в г. Ставрополе.</w:t>
            </w:r>
            <w:r>
              <w:rPr>
                <w:rFonts w:cs="Times New Roman" w:ascii="Times New Roman" w:hAnsi="Times New Roman"/>
                <w:bCs/>
                <w:sz w:val="22"/>
                <w:szCs w:val="22"/>
              </w:rPr>
              <w:t xml:space="preserve"> По состоянию на 01 января 2026 года на учете в качестве нуждающихся в жилых помещениях состоят 16 семей, из них10 молодых семей -  участники мероприятия по обеспечения жильем молодых семей, 3 семьи – участники государственной программы «Комплексное развитие сельских территорий», 1 многодетная семья – </w:t>
            </w:r>
            <w:bookmarkStart w:id="2" w:name="_Hlk157673727"/>
            <w:r>
              <w:rPr>
                <w:rFonts w:cs="Times New Roman" w:ascii="Times New Roman" w:hAnsi="Times New Roman"/>
                <w:bCs/>
                <w:sz w:val="22"/>
                <w:szCs w:val="22"/>
              </w:rPr>
              <w:t>на получения земельного участка бесплатно в собственност</w:t>
            </w:r>
            <w:bookmarkEnd w:id="2"/>
            <w:r>
              <w:rPr>
                <w:rFonts w:cs="Times New Roman" w:ascii="Times New Roman" w:hAnsi="Times New Roman"/>
                <w:bCs/>
                <w:sz w:val="22"/>
                <w:szCs w:val="22"/>
              </w:rPr>
              <w:t>ь, один человек - участник (ветеран) боевых действий Демократической Республики Афганистан на получение жилого помещения в краевом жилищном фонде Ставропольского края, предоставляемых по договорам социального найма и 1 одна молодая семья, не являющаяся участницей программы.</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3.3.2.</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Организация обеспечения надежного теплоснабжения потребителей на территории района в пределах полномочий, установленных законодательством Российской Федерации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Снижение уровня износа объектов, повышения качества и надежности коммунальных услуг, значительное снижение тепловых потерь и как следствие уменьшение объемов по</w:t>
              <w:softHyphen/>
              <w:t>требляемого газа</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муниципального хозяйства, транспорта , до</w:t>
              <w:softHyphen/>
              <w:t>рожной деятельности  АТМО СК, ООО «Коммунальное хозяйство» ТМР</w:t>
            </w:r>
          </w:p>
        </w:tc>
        <w:tc>
          <w:tcPr>
            <w:tcW w:w="2349" w:type="dxa"/>
            <w:tcBorders>
              <w:left w:val="single" w:sz="4" w:space="0" w:color="000000"/>
              <w:bottom w:val="single" w:sz="4" w:space="0" w:color="000000"/>
              <w:right w:val="single" w:sz="4" w:space="0" w:color="000000"/>
            </w:tcBorders>
          </w:tcPr>
          <w:p>
            <w:pPr>
              <w:pStyle w:val="ListParagraph"/>
              <w:numPr>
                <w:ilvl w:val="0"/>
                <w:numId w:val="0"/>
              </w:numPr>
              <w:spacing w:before="0" w:after="200"/>
              <w:ind w:hanging="0" w:left="-113" w:right="0"/>
              <w:contextualSpacing/>
              <w:jc w:val="both"/>
              <w:rPr>
                <w:rFonts w:ascii="Times New Roman" w:hAnsi="Times New Roman" w:cs="Times New Roman"/>
                <w:sz w:val="22"/>
                <w:szCs w:val="22"/>
              </w:rPr>
            </w:pPr>
            <w:r>
              <w:rPr>
                <w:rFonts w:cs="Times New Roman" w:ascii="Times New Roman" w:hAnsi="Times New Roman"/>
                <w:sz w:val="22"/>
                <w:szCs w:val="22"/>
              </w:rPr>
              <w:t>Замена участка тепло</w:t>
              <w:softHyphen/>
              <w:t>вых сетей протяжен</w:t>
              <w:softHyphen/>
              <w:t>ностью в двухтрубном исполнении в с. Летняя Ставка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rPr/>
            </w:pPr>
            <w:r>
              <w:rPr>
                <w:rFonts w:eastAsia="Times New Roman" w:cs="Times New Roman" w:ascii="Times New Roman" w:hAnsi="Times New Roman"/>
                <w:sz w:val="22"/>
                <w:szCs w:val="22"/>
                <w:lang w:eastAsia="ru-RU"/>
              </w:rPr>
              <w:t xml:space="preserve">  </w:t>
            </w:r>
            <w:r>
              <w:rPr>
                <w:rFonts w:eastAsia="" w:cs="Times New Roman" w:ascii="Times New Roman" w:hAnsi="Times New Roman"/>
                <w:sz w:val="22"/>
                <w:szCs w:val="22"/>
                <w:lang w:eastAsia="ru-RU"/>
              </w:rPr>
              <w:t>метр</w:t>
            </w:r>
          </w:p>
        </w:tc>
        <w:tc>
          <w:tcPr>
            <w:tcW w:w="1292" w:type="dxa"/>
            <w:tcBorders>
              <w:left w:val="single" w:sz="4" w:space="0" w:color="000000"/>
              <w:bottom w:val="single" w:sz="4" w:space="0" w:color="000000"/>
            </w:tcBorders>
          </w:tcPr>
          <w:p>
            <w:pPr>
              <w:pStyle w:val="Normal"/>
              <w:spacing w:lineRule="auto" w:line="240" w:before="0" w:after="0"/>
              <w:jc w:val="center"/>
              <w:rPr/>
            </w:pPr>
            <w:r>
              <w:rPr>
                <w:rFonts w:eastAsia="Times New Roman" w:cs="Times New Roman" w:ascii="Times New Roman" w:hAnsi="Times New Roman"/>
                <w:sz w:val="22"/>
                <w:szCs w:val="22"/>
                <w:lang w:eastAsia="ru-RU"/>
              </w:rPr>
              <w:t xml:space="preserve"> </w:t>
            </w:r>
            <w:r>
              <w:rPr>
                <w:rFonts w:eastAsia="" w:cs="Times New Roman" w:ascii="Times New Roman" w:hAnsi="Times New Roman"/>
                <w:sz w:val="22"/>
                <w:szCs w:val="22"/>
                <w:shd w:fill="FFFFFF" w:val="clear"/>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Произведена замена 117 м тепло</w:t>
              <w:softHyphen/>
              <w:t>вых сетей в двухтрубном исполнении, из них:</w:t>
            </w:r>
          </w:p>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60 м – пластик;</w:t>
            </w:r>
          </w:p>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57 м–электросварные.</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3.3.3</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Благоустройство</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shd w:fill="auto" w:val="clear"/>
              </w:rPr>
            </w:pPr>
            <w:r>
              <w:rPr>
                <w:rFonts w:cs="Times New Roman" w:ascii="Times New Roman" w:hAnsi="Times New Roman"/>
                <w:sz w:val="24"/>
                <w:szCs w:val="24"/>
                <w:shd w:fill="auto" w:val="clear"/>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shd w:fill="auto" w:val="clear"/>
                <w:lang w:eastAsia="ru-RU"/>
              </w:rPr>
            </w:pPr>
            <w:r>
              <w:rPr>
                <w:rFonts w:eastAsia="" w:cs="Times New Roman" w:ascii="Times New Roman" w:hAnsi="Times New Roman"/>
                <w:iCs/>
                <w:sz w:val="22"/>
                <w:szCs w:val="22"/>
                <w:shd w:fill="auto" w:val="clear"/>
                <w:lang w:eastAsia="ru-RU"/>
              </w:rPr>
              <w:t>Приведение в нормативное состояние общественных территорий</w:t>
            </w:r>
          </w:p>
          <w:p>
            <w:pPr>
              <w:pStyle w:val="Normal"/>
              <w:spacing w:lineRule="auto" w:line="240" w:before="0" w:after="0"/>
              <w:jc w:val="both"/>
              <w:rPr>
                <w:rFonts w:ascii="Times New Roman" w:hAnsi="Times New Roman" w:cs="Times New Roman"/>
                <w:i/>
                <w:i/>
                <w:iCs/>
                <w:sz w:val="22"/>
                <w:szCs w:val="22"/>
                <w:shd w:fill="auto" w:val="clear"/>
              </w:rPr>
            </w:pPr>
            <w:r>
              <w:rPr>
                <w:rFonts w:cs="Times New Roman" w:ascii="Times New Roman" w:hAnsi="Times New Roman"/>
                <w:i/>
                <w:iCs/>
                <w:sz w:val="22"/>
                <w:szCs w:val="22"/>
                <w:shd w:fill="auto" w:val="clear"/>
              </w:rPr>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auto" w:val="clear"/>
                <w:lang w:eastAsia="ru-RU"/>
              </w:rPr>
            </w:pPr>
            <w:r>
              <w:rPr>
                <w:rFonts w:eastAsia="" w:cs="Times New Roman" w:ascii="Times New Roman" w:hAnsi="Times New Roman"/>
                <w:sz w:val="22"/>
                <w:szCs w:val="22"/>
                <w:shd w:fill="auto" w:val="clear"/>
                <w:lang w:eastAsia="ru-RU"/>
              </w:rPr>
              <w:t>Муниципальная про</w:t>
              <w:softHyphen/>
              <w:t>грамма  «Развитие жилищно-коммунального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муниципального хозяйства, транспорта , до</w:t>
              <w:softHyphen/>
              <w:t>рожной деятельности  АТМО СК, территориальные управления  АТМО СК</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Обустройство мест сбора твердых быто</w:t>
              <w:softHyphen/>
              <w:t>вых отходов</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ind w:right="0"/>
              <w:jc w:val="both"/>
              <w:rPr>
                <w:rFonts w:ascii="Times New Roman" w:hAnsi="Times New Roman" w:cs="Times New Roman"/>
                <w:sz w:val="22"/>
                <w:szCs w:val="22"/>
              </w:rPr>
            </w:pPr>
            <w:r>
              <w:rPr>
                <w:rFonts w:cs="Times New Roman" w:ascii="Times New Roman" w:hAnsi="Times New Roman"/>
                <w:sz w:val="22"/>
                <w:szCs w:val="22"/>
              </w:rPr>
              <w:t>Совместно со специалистами территориальных управлений организована работа по буртованию 3 несанкционированных свалок расположенных в населенных пунктах Туркменского муниципального округа (с. Летняя Ставка, а. Куликовы-Копани, а. Шарахалсун) - на сумму 527 290 руб.</w:t>
            </w:r>
          </w:p>
          <w:p>
            <w:pPr>
              <w:pStyle w:val="Normal"/>
              <w:shd w:val="clear" w:fill="FFFFFF"/>
              <w:spacing w:lineRule="auto" w:line="240" w:before="0" w:after="0"/>
              <w:ind w:right="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Для обустройства крупногабаритной контейнерной площадки в с. Летняя Ставка приобретен мусорный бункер на сумму 63 000 руб., также для населения проведена закупка 15 контейнеров объемом 0,75 м3 на сумму 195 000 руб.</w:t>
            </w:r>
          </w:p>
        </w:tc>
      </w:tr>
      <w:tr>
        <w:trPr>
          <w:trHeight w:val="751" w:hRule="atLeast"/>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Благоустройство общественных территорий. Озеленение территории округа – приобретение и посадка зеленных насаждений</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жилищно-коммунального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муниципального хозяйства, транспорта, до</w:t>
              <w:softHyphen/>
              <w:t>рожной деятельности  АТМО СК, территориальные управления  АТМО СК</w:t>
            </w:r>
          </w:p>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iCs/>
                <w:sz w:val="22"/>
                <w:szCs w:val="22"/>
              </w:rPr>
            </w:pPr>
            <w:r>
              <w:rPr>
                <w:rFonts w:cs="Times New Roman" w:ascii="Times New Roman" w:hAnsi="Times New Roman"/>
                <w:iCs/>
                <w:sz w:val="22"/>
                <w:szCs w:val="22"/>
              </w:rPr>
              <w:t>Приобретение и по</w:t>
              <w:softHyphen/>
              <w:t>садка зеленных на</w:t>
              <w:softHyphen/>
              <w:t>саждений</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widowControl/>
              <w:suppressAutoHyphens w:val="false"/>
              <w:bidi w:val="0"/>
              <w:spacing w:lineRule="auto" w:line="240" w:before="0" w:after="0"/>
              <w:ind w:hanging="0" w:right="0"/>
              <w:jc w:val="both"/>
              <w:rPr>
                <w:sz w:val="22"/>
                <w:szCs w:val="22"/>
              </w:rPr>
            </w:pPr>
            <w:r>
              <w:rPr>
                <w:rFonts w:cs="Times New Roman" w:ascii="Times New Roman" w:hAnsi="Times New Roman"/>
                <w:b w:val="false"/>
                <w:i w:val="false"/>
                <w:strike w:val="false"/>
                <w:dstrike w:val="false"/>
                <w:outline w:val="false"/>
                <w:shadow w:val="false"/>
                <w:sz w:val="22"/>
                <w:szCs w:val="22"/>
                <w:u w:val="none"/>
                <w:em w:val="none"/>
              </w:rPr>
              <w:t xml:space="preserve">В сфере благоустройства реализовано два  проекта регионального проекта «Формирование комфортной городской среды» национального проекта «Инфраструктура для жизни», </w:t>
            </w:r>
            <w:r>
              <w:rPr>
                <w:rFonts w:cs="Times New Roman" w:ascii="Times New Roman" w:hAnsi="Times New Roman"/>
                <w:b w:val="false"/>
                <w:bCs w:val="false"/>
                <w:i w:val="false"/>
                <w:strike w:val="false"/>
                <w:dstrike w:val="false"/>
                <w:outline w:val="false"/>
                <w:shadow w:val="false"/>
                <w:color w:val="000000"/>
                <w:sz w:val="22"/>
                <w:szCs w:val="22"/>
                <w:u w:val="none"/>
                <w:em w:val="none"/>
              </w:rPr>
              <w:t>инициированного Президентом Российской Федерации Путиным В.В</w:t>
            </w:r>
            <w:r>
              <w:rPr>
                <w:rFonts w:cs="Times New Roman" w:ascii="Times New Roman" w:hAnsi="Times New Roman"/>
                <w:b w:val="false"/>
                <w:i w:val="false"/>
                <w:strike w:val="false"/>
                <w:dstrike w:val="false"/>
                <w:outline w:val="false"/>
                <w:shadow w:val="false"/>
                <w:sz w:val="22"/>
                <w:szCs w:val="22"/>
                <w:u w:val="none"/>
                <w:em w:val="none"/>
              </w:rPr>
              <w:t>:</w:t>
            </w:r>
          </w:p>
          <w:p>
            <w:pPr>
              <w:pStyle w:val="Normal"/>
              <w:widowControl/>
              <w:suppressAutoHyphens w:val="false"/>
              <w:bidi w:val="0"/>
              <w:spacing w:lineRule="auto" w:line="240" w:before="0" w:after="0"/>
              <w:ind w:hanging="0" w:right="0"/>
              <w:jc w:val="both"/>
              <w:rPr>
                <w:rFonts w:ascii="Times New Roman" w:hAnsi="Times New Roman" w:cs="Times New Roman"/>
                <w:b w:val="false"/>
                <w:i w:val="false"/>
                <w:i w:val="false"/>
                <w:strike w:val="false"/>
                <w:dstrike w:val="false"/>
                <w:outline w:val="false"/>
                <w:shadow w:val="false"/>
                <w:sz w:val="28"/>
                <w:szCs w:val="28"/>
                <w:u w:val="none"/>
                <w:em w:val="none"/>
              </w:rPr>
            </w:pPr>
            <w:r>
              <w:rPr>
                <w:rFonts w:cs="Times New Roman" w:ascii="Times New Roman" w:hAnsi="Times New Roman"/>
                <w:b w:val="false"/>
                <w:i w:val="false"/>
                <w:strike w:val="false"/>
                <w:dstrike w:val="false"/>
                <w:outline w:val="false"/>
                <w:shadow w:val="false"/>
                <w:sz w:val="22"/>
                <w:szCs w:val="22"/>
                <w:u w:val="none"/>
                <w:em w:val="none"/>
              </w:rPr>
              <w:t>- «Благоустройство территории на объекте Сиреневый сквер» в с. Летняя Ставка, на который в 2025 году было предусмотрено 24,709 млн. рублей, в том числе  федеральный бюджет — 24,437 млн. рублей, бюджет Ставропольского края — 246,845 тыс. рублей, бюджет Туркменского муниципального округа Ставропольского края — 24,709 тыс. рублей. Проект реализован на сумму 24,709 млн. рублей.</w:t>
            </w:r>
          </w:p>
          <w:p>
            <w:pPr>
              <w:pStyle w:val="Normal"/>
              <w:widowControl/>
              <w:suppressAutoHyphens w:val="false"/>
              <w:bidi w:val="0"/>
              <w:spacing w:lineRule="auto" w:line="240" w:before="0" w:after="200"/>
              <w:ind w:hanging="0" w:right="0"/>
              <w:jc w:val="both"/>
              <w:rPr>
                <w:sz w:val="22"/>
                <w:szCs w:val="22"/>
              </w:rPr>
            </w:pPr>
            <w:r>
              <w:rPr>
                <w:rFonts w:cs="Times New Roman" w:ascii="Times New Roman" w:hAnsi="Times New Roman"/>
                <w:b w:val="false"/>
                <w:i w:val="false"/>
                <w:iCs/>
                <w:strike w:val="false"/>
                <w:dstrike w:val="false"/>
                <w:outline w:val="false"/>
                <w:shadow w:val="false"/>
                <w:color w:val="000000"/>
                <w:sz w:val="22"/>
                <w:szCs w:val="22"/>
                <w:u w:val="none"/>
                <w:shd w:fill="FFFFFF" w:val="clear"/>
                <w:em w:val="none"/>
              </w:rPr>
              <w:t>- «Б</w:t>
            </w:r>
            <w:r>
              <w:rPr>
                <w:rFonts w:cs="Times New Roman" w:ascii="Times New Roman" w:hAnsi="Times New Roman"/>
                <w:b w:val="false"/>
                <w:i w:val="false"/>
                <w:iCs/>
                <w:strike w:val="false"/>
                <w:dstrike w:val="false"/>
                <w:outline w:val="false"/>
                <w:shadow w:val="false"/>
                <w:sz w:val="22"/>
                <w:szCs w:val="22"/>
                <w:u w:val="none"/>
                <w:shd w:fill="FFFFFF" w:val="clear"/>
                <w:em w:val="none"/>
              </w:rPr>
              <w:t>лагоустройство территории на объекте «Зона отдыха по улице Мира в селе Летняя Ставка» на общую сумму 5,674 млн. рублей, в том числе  федеральный бюджет — 5,601 млн. рублей, бюджет Ставропольского края — 56,77 тыс. рублей, бюджет Туркменского муниципального округа Ставропольского края — 16,899 тыс. рублей.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Повышение уровня комфортности проживания и отдыха населения  округа.</w:t>
            </w:r>
          </w:p>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Обустройство детских игровых площадок</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жилищно-коммунального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муниципального хозяйства, транспорта, до</w:t>
              <w:softHyphen/>
              <w:t>рожной деятельности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Обустройство детских игровых площадок</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widowControl/>
              <w:suppressAutoHyphens w:val="false"/>
              <w:bidi w:val="0"/>
              <w:spacing w:lineRule="auto" w:line="240" w:before="0" w:after="0"/>
              <w:ind w:right="0"/>
              <w:jc w:val="both"/>
              <w:rPr>
                <w:rFonts w:ascii="Times New Roman" w:hAnsi="Times New Roman" w:cs="Times New Roman"/>
                <w:i w:val="false"/>
                <w:i w:val="false"/>
                <w:iCs w:val="false"/>
                <w:color w:val="000000"/>
                <w:sz w:val="22"/>
                <w:szCs w:val="22"/>
                <w:shd w:fill="FFFFFF" w:val="clear"/>
              </w:rPr>
            </w:pPr>
            <w:r>
              <w:rPr>
                <w:rFonts w:cs="Times New Roman" w:ascii="Times New Roman" w:hAnsi="Times New Roman"/>
                <w:i w:val="false"/>
                <w:iCs w:val="false"/>
                <w:color w:val="000000"/>
                <w:sz w:val="22"/>
                <w:szCs w:val="22"/>
                <w:shd w:fill="FFFFFF" w:val="clear"/>
              </w:rPr>
              <w:t>В рамках краевой программы «Развитие жилищно-коммунального хозяйства, защита населения от чрезвычайных ситуаций» в с. Летняя Ставка по ул. Чехова обустроена детская площадка. На эти цели из бюджета Ставропольского края выделено более 1,5 млн. рублей.</w:t>
            </w:r>
          </w:p>
          <w:p>
            <w:pPr>
              <w:pStyle w:val="Normal"/>
              <w:widowControl/>
              <w:suppressAutoHyphens w:val="false"/>
              <w:bidi w:val="0"/>
              <w:spacing w:lineRule="auto" w:line="240" w:before="0" w:after="0"/>
              <w:ind w:hanging="0" w:right="0"/>
              <w:jc w:val="both"/>
              <w:rPr>
                <w:rFonts w:ascii="Times New Roman" w:hAnsi="Times New Roman"/>
                <w:sz w:val="22"/>
                <w:szCs w:val="22"/>
              </w:rPr>
            </w:pPr>
            <w:r>
              <w:rPr>
                <w:rFonts w:ascii="Times New Roman" w:hAnsi="Times New Roman"/>
                <w:bCs/>
                <w:i w:val="false"/>
                <w:iCs w:val="false"/>
                <w:sz w:val="22"/>
                <w:szCs w:val="22"/>
              </w:rPr>
              <w:t>По программе развития местных инициатив реализован проект: «О</w:t>
            </w:r>
            <w:r>
              <w:rPr>
                <w:rFonts w:ascii="Times New Roman" w:hAnsi="Times New Roman"/>
                <w:i w:val="false"/>
                <w:iCs w:val="false"/>
                <w:sz w:val="22"/>
                <w:szCs w:val="22"/>
              </w:rPr>
              <w:t>бу</w:t>
            </w:r>
            <w:r>
              <w:rPr>
                <w:rFonts w:cs="Times New Roman" w:ascii="Times New Roman" w:hAnsi="Times New Roman"/>
                <w:b w:val="false"/>
                <w:bCs w:val="false"/>
                <w:i w:val="false"/>
                <w:iCs w:val="false"/>
                <w:sz w:val="22"/>
                <w:szCs w:val="22"/>
              </w:rPr>
              <w:t>стройство детской игровой площадки в а. Чур». С</w:t>
            </w:r>
            <w:r>
              <w:rPr>
                <w:rFonts w:ascii="Times New Roman" w:hAnsi="Times New Roman"/>
                <w:bCs/>
                <w:i w:val="false"/>
                <w:iCs w:val="false"/>
                <w:color w:val="000000"/>
                <w:sz w:val="22"/>
                <w:szCs w:val="22"/>
              </w:rPr>
              <w:t xml:space="preserve">тоимость проекта — 3,672 млн. рублей, в том числе, средства бюджета Ставропольского края — </w:t>
            </w:r>
            <w:r>
              <w:rPr>
                <w:rFonts w:ascii="Times New Roman" w:hAnsi="Times New Roman"/>
                <w:bCs/>
                <w:i w:val="false"/>
                <w:iCs w:val="false"/>
                <w:color w:val="000000"/>
                <w:sz w:val="22"/>
                <w:szCs w:val="22"/>
                <w:shd w:fill="FFFFFF" w:val="clear"/>
              </w:rPr>
              <w:t>2,858 млн. рублей, бюджета Туркменского муниципального округа Ставропольского края — 0,394 млн. рублей, внебюджетные средства — 0,42 млн. рублей.</w:t>
            </w:r>
          </w:p>
          <w:p>
            <w:pPr>
              <w:pStyle w:val="Normal"/>
              <w:widowControl/>
              <w:suppressAutoHyphens w:val="false"/>
              <w:bidi w:val="0"/>
              <w:spacing w:lineRule="auto" w:line="240" w:before="0" w:after="0"/>
              <w:ind w:hanging="0" w:right="0"/>
              <w:jc w:val="both"/>
              <w:rPr>
                <w:rFonts w:ascii="Times New Roman" w:hAnsi="Times New Roman"/>
                <w:sz w:val="22"/>
                <w:szCs w:val="22"/>
              </w:rPr>
            </w:pPr>
            <w:r>
              <w:rPr>
                <w:rFonts w:ascii="Times New Roman" w:hAnsi="Times New Roman"/>
                <w:bCs/>
                <w:sz w:val="22"/>
                <w:szCs w:val="22"/>
              </w:rPr>
              <w:t>По программе инициативного бюджетирования реализован проект «</w:t>
            </w:r>
            <w:r>
              <w:rPr>
                <w:rFonts w:ascii="Times New Roman" w:hAnsi="Times New Roman"/>
                <w:b w:val="false"/>
                <w:bCs w:val="false"/>
                <w:sz w:val="22"/>
                <w:szCs w:val="22"/>
              </w:rPr>
              <w:t>Обустройство детской игровой площадки по адресу: с. Малые Ягуры, ул. Калинина, 78»  на общую сумму 0,33 млн. рублей, в том числе за счет местного бюджета — 0,285 млн. рублей и внебюджетные средства — 0,045 млн.рублей.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Повышение уровня комфортности проживания и отдыха населения  округа. Благоустройство территории округа, в рамках реализации программ формирования современной городской среды</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«Формирование современной го</w:t>
              <w:softHyphen/>
              <w:t>родской среды»</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муниципального хозяйства, транспорта, до</w:t>
              <w:softHyphen/>
              <w:t>рожной деятельности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Благоустройство тер</w:t>
              <w:softHyphen/>
              <w:t>ритории, в рамках реализации программ формирования со</w:t>
              <w:softHyphen/>
              <w:t>временной городской среды</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Normal"/>
              <w:widowControl/>
              <w:suppressAutoHyphens w:val="false"/>
              <w:bidi w:val="0"/>
              <w:spacing w:lineRule="auto" w:line="240" w:before="0" w:after="0"/>
              <w:ind w:right="0"/>
              <w:jc w:val="both"/>
              <w:rPr/>
            </w:pPr>
            <w:r>
              <w:rPr>
                <w:rFonts w:cs="Times New Roman" w:ascii="Times New Roman" w:hAnsi="Times New Roman"/>
                <w:b w:val="false"/>
                <w:i w:val="false"/>
                <w:strike w:val="false"/>
                <w:dstrike w:val="false"/>
                <w:outline w:val="false"/>
                <w:shadow w:val="false"/>
                <w:sz w:val="22"/>
                <w:szCs w:val="22"/>
                <w:u w:val="none"/>
                <w:em w:val="none"/>
              </w:rPr>
              <w:t xml:space="preserve">В рамках регионального проекта «Формирование комфортной городской среды» национального проекта «Инфраструктура для жизни», </w:t>
            </w:r>
            <w:r>
              <w:rPr>
                <w:rFonts w:cs="Times New Roman" w:ascii="Times New Roman" w:hAnsi="Times New Roman"/>
                <w:b w:val="false"/>
                <w:bCs w:val="false"/>
                <w:i w:val="false"/>
                <w:strike w:val="false"/>
                <w:dstrike w:val="false"/>
                <w:outline w:val="false"/>
                <w:shadow w:val="false"/>
                <w:color w:val="000000"/>
                <w:sz w:val="22"/>
                <w:szCs w:val="22"/>
                <w:u w:val="none"/>
                <w:em w:val="none"/>
              </w:rPr>
              <w:t>инициированного Президентом Российской Федерации Путиным В.В</w:t>
            </w:r>
            <w:r>
              <w:rPr>
                <w:rFonts w:cs="Times New Roman" w:ascii="Times New Roman" w:hAnsi="Times New Roman"/>
                <w:b w:val="false"/>
                <w:i w:val="false"/>
                <w:strike w:val="false"/>
                <w:dstrike w:val="false"/>
                <w:outline w:val="false"/>
                <w:shadow w:val="false"/>
                <w:sz w:val="22"/>
                <w:szCs w:val="22"/>
                <w:u w:val="none"/>
                <w:em w:val="none"/>
              </w:rPr>
              <w:t xml:space="preserve"> в 2025 году реализовано два  проекта:</w:t>
            </w:r>
          </w:p>
          <w:p>
            <w:pPr>
              <w:pStyle w:val="Normal"/>
              <w:widowControl/>
              <w:suppressAutoHyphens w:val="false"/>
              <w:bidi w:val="0"/>
              <w:spacing w:lineRule="auto" w:line="240" w:before="0" w:after="0"/>
              <w:ind w:right="0"/>
              <w:jc w:val="both"/>
              <w:rPr>
                <w:rFonts w:ascii="Times New Roman" w:hAnsi="Times New Roman" w:cs="Times New Roman"/>
                <w:b w:val="false"/>
                <w:i w:val="false"/>
                <w:i w:val="false"/>
                <w:strike w:val="false"/>
                <w:dstrike w:val="false"/>
                <w:outline w:val="false"/>
                <w:shadow w:val="false"/>
                <w:sz w:val="22"/>
                <w:szCs w:val="22"/>
                <w:u w:val="none"/>
                <w:em w:val="none"/>
              </w:rPr>
            </w:pPr>
            <w:r>
              <w:rPr>
                <w:rFonts w:cs="Times New Roman" w:ascii="Times New Roman" w:hAnsi="Times New Roman"/>
                <w:b w:val="false"/>
                <w:i w:val="false"/>
                <w:strike w:val="false"/>
                <w:dstrike w:val="false"/>
                <w:outline w:val="false"/>
                <w:shadow w:val="false"/>
                <w:sz w:val="22"/>
                <w:szCs w:val="22"/>
                <w:u w:val="none"/>
                <w:em w:val="none"/>
              </w:rPr>
              <w:t>- «Благоустройство территории на объекте Сиреневый сквер» в с. Летняя Ставка, на сумму 24,709 млн. рублей, в том числе  федеральный бюджет — 24,437 млн. рублей, бюджет Ставропольского края — 246,845 тыс. рублей, бюджет Туркменского муниципального округа Ставропольского края — 24,709 тыс. рублей;</w:t>
            </w:r>
          </w:p>
          <w:p>
            <w:pPr>
              <w:pStyle w:val="Normal"/>
              <w:widowControl/>
              <w:suppressAutoHyphens w:val="false"/>
              <w:bidi w:val="0"/>
              <w:spacing w:lineRule="auto" w:line="240" w:before="0" w:after="200"/>
              <w:ind w:right="0"/>
              <w:jc w:val="both"/>
              <w:rPr/>
            </w:pPr>
            <w:r>
              <w:rPr>
                <w:rFonts w:cs="Times New Roman" w:ascii="Times New Roman" w:hAnsi="Times New Roman"/>
                <w:b w:val="false"/>
                <w:i w:val="false"/>
                <w:strike w:val="false"/>
                <w:dstrike w:val="false"/>
                <w:outline w:val="false"/>
                <w:shadow w:val="false"/>
                <w:color w:val="000000"/>
                <w:sz w:val="22"/>
                <w:szCs w:val="22"/>
                <w:u w:val="none"/>
                <w:shd w:fill="FFFFFF" w:val="clear"/>
                <w:em w:val="none"/>
              </w:rPr>
              <w:t>- «Б</w:t>
            </w:r>
            <w:r>
              <w:rPr>
                <w:rFonts w:cs="Times New Roman" w:ascii="Times New Roman" w:hAnsi="Times New Roman"/>
                <w:b w:val="false"/>
                <w:i w:val="false"/>
                <w:strike w:val="false"/>
                <w:dstrike w:val="false"/>
                <w:outline w:val="false"/>
                <w:shadow w:val="false"/>
                <w:sz w:val="22"/>
                <w:szCs w:val="22"/>
                <w:u w:val="none"/>
                <w:shd w:fill="FFFFFF" w:val="clear"/>
                <w:em w:val="none"/>
              </w:rPr>
              <w:t>лаг</w:t>
            </w:r>
            <w:r>
              <w:rPr>
                <w:rFonts w:cs="Times New Roman" w:ascii="Times New Roman" w:hAnsi="Times New Roman"/>
                <w:b w:val="false"/>
                <w:i w:val="false"/>
                <w:strike w:val="false"/>
                <w:dstrike w:val="false"/>
                <w:outline w:val="false"/>
                <w:shadow w:val="false"/>
                <w:sz w:val="22"/>
                <w:szCs w:val="22"/>
                <w:u w:val="none"/>
                <w:em w:val="none"/>
              </w:rPr>
              <w:t>оустройство территории на объекте «Зона отдыха по улице Мира в селе Летняя Ставка» на общую сумму 5,674 млн. рублей, в том числе  федеральный бюджет — 5,601 млн. рублей, бюджет Ставропольского края — 56,77 тыс. рублей, бюджет Туркменского муниципального округа Ставропольского края — 16,899 тыс. рублей.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3.3.4</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Водоснабжение</w:t>
            </w:r>
          </w:p>
        </w:tc>
      </w:tr>
      <w:tr>
        <w:trPr>
          <w:trHeight w:val="1465" w:hRule="atLeast"/>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Повышение надежности, уменьшение аварийных ситуаций, повышение качества обслуживания населения и эффективности объектов водоснабжения.</w:t>
            </w:r>
          </w:p>
          <w:p>
            <w:pPr>
              <w:pStyle w:val="Normal"/>
              <w:spacing w:lineRule="auto" w:line="240" w:before="0" w:after="0"/>
              <w:jc w:val="both"/>
              <w:rPr>
                <w:rFonts w:ascii="Times New Roman" w:hAnsi="Times New Roman" w:eastAsia="" w:cs="Times New Roman"/>
                <w:iCs/>
                <w:sz w:val="22"/>
                <w:szCs w:val="22"/>
                <w:lang w:eastAsia="ru-RU"/>
              </w:rPr>
            </w:pPr>
            <w:r>
              <w:rPr>
                <w:rFonts w:eastAsia="" w:cs="Times New Roman" w:ascii="Times New Roman" w:hAnsi="Times New Roman"/>
                <w:iCs/>
                <w:sz w:val="22"/>
                <w:szCs w:val="22"/>
                <w:lang w:eastAsia="ru-RU"/>
              </w:rPr>
              <w:t>Ремонт и реконструкция водовод и водопроводных сетей</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Внепрограммное мероприятие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муниципального хозяйства, транспорта , до</w:t>
              <w:softHyphen/>
              <w:t>рожной деятельности  АТМО СК, территориальные управления  АТМО СК, ГУП СК «Ставрополькрайводоканал» (по согласованию)</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iCs/>
                <w:sz w:val="22"/>
                <w:szCs w:val="22"/>
              </w:rPr>
            </w:pPr>
            <w:r>
              <w:rPr>
                <w:rFonts w:cs="Times New Roman" w:ascii="Times New Roman" w:hAnsi="Times New Roman"/>
                <w:iCs/>
                <w:sz w:val="22"/>
                <w:szCs w:val="22"/>
              </w:rPr>
              <w:t>Ремонт и реконст</w:t>
              <w:softHyphen/>
              <w:t>рукция водовод и во</w:t>
              <w:softHyphen/>
              <w:t>допроводных сетей</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метр</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p>
            <w:pPr>
              <w:pStyle w:val="Normal"/>
              <w:spacing w:lineRule="auto" w:line="240" w:before="0" w:after="0"/>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В целях обеспечения бесперебойного водоснабжения жителей округа  филиалами ГУП СК «Ставрополькрайводоканал» проведены работы по ремонту водопроводных сетей на территории Туркменского округа:</w:t>
            </w:r>
          </w:p>
          <w:p>
            <w:pPr>
              <w:pStyle w:val="Normal"/>
              <w:spacing w:lineRule="auto" w:line="240" w:before="0" w:after="0"/>
              <w:ind w:right="0"/>
              <w:jc w:val="both"/>
              <w:rPr>
                <w:rFonts w:ascii="Times New Roman" w:hAnsi="Times New Roman" w:cs="Times New Roman"/>
                <w:sz w:val="22"/>
                <w:szCs w:val="22"/>
              </w:rPr>
            </w:pPr>
            <w:r>
              <w:rPr>
                <w:rFonts w:cs="Times New Roman" w:ascii="Times New Roman" w:hAnsi="Times New Roman"/>
                <w:sz w:val="22"/>
                <w:szCs w:val="22"/>
              </w:rPr>
              <w:t>- замена участка разводящей сети НРР пос. Красный Маныч до ул. Юбилейная – 30 м;</w:t>
            </w:r>
          </w:p>
          <w:p>
            <w:pPr>
              <w:pStyle w:val="Normal"/>
              <w:spacing w:lineRule="auto" w:line="240" w:before="0" w:after="0"/>
              <w:ind w:right="0"/>
              <w:jc w:val="both"/>
              <w:rPr/>
            </w:pPr>
            <w:r>
              <w:rPr>
                <w:rFonts w:cs="Times New Roman" w:ascii="Times New Roman" w:hAnsi="Times New Roman"/>
                <w:sz w:val="22"/>
                <w:szCs w:val="22"/>
              </w:rPr>
              <w:t xml:space="preserve">- замена участка водовода между насосной станцией № 5 пос. Новокучерлинский и насосной станцией №6 с. Кендже-Кулак </w:t>
            </w:r>
            <w:r>
              <w:rPr>
                <w:rFonts w:cs="Times New Roman" w:ascii="Times New Roman" w:hAnsi="Times New Roman"/>
                <w:sz w:val="22"/>
                <w:szCs w:val="22"/>
                <w:lang w:val="en-US"/>
              </w:rPr>
              <w:t>d</w:t>
            </w:r>
            <w:r>
              <w:rPr>
                <w:rFonts w:cs="Times New Roman" w:ascii="Times New Roman" w:hAnsi="Times New Roman"/>
                <w:sz w:val="22"/>
                <w:szCs w:val="22"/>
              </w:rPr>
              <w:t>-225 мм протяженностью 1,2 км;</w:t>
            </w:r>
          </w:p>
          <w:p>
            <w:pPr>
              <w:pStyle w:val="Normal"/>
              <w:spacing w:lineRule="auto" w:line="240" w:before="0" w:after="0"/>
              <w:ind w:right="0"/>
              <w:jc w:val="both"/>
              <w:rPr/>
            </w:pPr>
            <w:r>
              <w:rPr>
                <w:rFonts w:cs="Times New Roman" w:ascii="Times New Roman" w:hAnsi="Times New Roman"/>
                <w:sz w:val="22"/>
                <w:szCs w:val="22"/>
              </w:rPr>
              <w:t xml:space="preserve">- замена участка магистрального водовода от насосной станции №6 с. Кендже-Кулак </w:t>
            </w:r>
            <w:r>
              <w:rPr>
                <w:rFonts w:cs="Times New Roman" w:ascii="Times New Roman" w:hAnsi="Times New Roman"/>
                <w:sz w:val="22"/>
                <w:szCs w:val="22"/>
                <w:lang w:val="en-US"/>
              </w:rPr>
              <w:t>d</w:t>
            </w:r>
            <w:r>
              <w:rPr>
                <w:rFonts w:cs="Times New Roman" w:ascii="Times New Roman" w:hAnsi="Times New Roman"/>
                <w:sz w:val="22"/>
                <w:szCs w:val="22"/>
              </w:rPr>
              <w:t>-225 мм протяженностью 600 м;</w:t>
            </w:r>
          </w:p>
          <w:p>
            <w:pPr>
              <w:pStyle w:val="Normal"/>
              <w:spacing w:lineRule="auto" w:line="240" w:before="0" w:after="0"/>
              <w:ind w:right="0"/>
              <w:jc w:val="both"/>
              <w:rPr>
                <w:rFonts w:ascii="Times New Roman" w:hAnsi="Times New Roman" w:cs="Times New Roman"/>
                <w:sz w:val="22"/>
                <w:szCs w:val="22"/>
              </w:rPr>
            </w:pPr>
            <w:r>
              <w:rPr>
                <w:rFonts w:cs="Times New Roman" w:ascii="Times New Roman" w:hAnsi="Times New Roman"/>
                <w:sz w:val="22"/>
                <w:szCs w:val="22"/>
              </w:rPr>
              <w:t>- замена разводящих сетей в с. Летняя Ставка протяженностью 1,302 км в рамках капитального ремонта;</w:t>
            </w:r>
          </w:p>
          <w:p>
            <w:pPr>
              <w:pStyle w:val="Normal"/>
              <w:spacing w:lineRule="auto" w:line="240" w:before="0" w:after="0"/>
              <w:ind w:right="0"/>
              <w:jc w:val="both"/>
              <w:rPr>
                <w:rFonts w:ascii="Times New Roman" w:hAnsi="Times New Roman" w:cs="Times New Roman"/>
                <w:sz w:val="22"/>
                <w:szCs w:val="22"/>
              </w:rPr>
            </w:pPr>
            <w:r>
              <w:rPr>
                <w:rFonts w:cs="Times New Roman" w:ascii="Times New Roman" w:hAnsi="Times New Roman"/>
                <w:sz w:val="22"/>
                <w:szCs w:val="22"/>
              </w:rPr>
              <w:t>- капитального ремонта 870 м в с. Летняя Ставка;</w:t>
            </w:r>
          </w:p>
          <w:p>
            <w:pPr>
              <w:pStyle w:val="Normal"/>
              <w:spacing w:lineRule="auto" w:line="240" w:before="0" w:after="0"/>
              <w:ind w:right="0"/>
              <w:jc w:val="both"/>
              <w:rPr>
                <w:rFonts w:ascii="Times New Roman" w:hAnsi="Times New Roman" w:cs="Times New Roman"/>
                <w:sz w:val="22"/>
                <w:szCs w:val="22"/>
              </w:rPr>
            </w:pPr>
            <w:r>
              <w:rPr>
                <w:rFonts w:cs="Times New Roman" w:ascii="Times New Roman" w:hAnsi="Times New Roman"/>
                <w:sz w:val="22"/>
                <w:szCs w:val="22"/>
              </w:rPr>
              <w:t>- капитального ремонта 3,650 км магистральных водоводов.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3.3.5.</w:t>
            </w:r>
          </w:p>
        </w:tc>
        <w:tc>
          <w:tcPr>
            <w:tcW w:w="14627" w:type="dxa"/>
            <w:gridSpan w:val="8"/>
            <w:tcBorders>
              <w:left w:val="single" w:sz="4" w:space="0" w:color="000000"/>
              <w:bottom w:val="single" w:sz="4" w:space="0" w:color="000000"/>
              <w:right w:val="single" w:sz="4" w:space="0" w:color="000000"/>
            </w:tcBorders>
          </w:tcPr>
          <w:p>
            <w:pPr>
              <w:pStyle w:val="Normal"/>
              <w:spacing w:before="0" w:after="143"/>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Энергосбережение и повышение энергетической эффективности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Информирование  потребителей энергетических ресурсов о способах экономии энергетических ресурсов и повышения энергетической эффективности их использования организациями, осуществляющими снабжение потребителей энергетическими ресурсами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жилищно-коммунального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муниципального хозяйства, транспорта, до</w:t>
              <w:softHyphen/>
              <w:t>рожной деятельности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Снижение затрат за потребленные энергетические ресурсы</w:t>
            </w:r>
          </w:p>
        </w:tc>
        <w:tc>
          <w:tcPr>
            <w:tcW w:w="951" w:type="dxa"/>
            <w:tcBorders>
              <w:left w:val="single" w:sz="4" w:space="0" w:color="000000"/>
              <w:bottom w:val="single" w:sz="4" w:space="0" w:color="000000"/>
              <w:right w:val="single" w:sz="4" w:space="0" w:color="000000"/>
            </w:tcBorders>
          </w:tcPr>
          <w:p>
            <w:pPr>
              <w:pStyle w:val="Normal"/>
              <w:suppressAutoHyphens w:val="true"/>
              <w:snapToGrid w:val="false"/>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r>
          </w:p>
          <w:p>
            <w:pPr>
              <w:pStyle w:val="Normal"/>
              <w:suppressAutoHyphens w:val="true"/>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тыс. рублей</w:t>
            </w:r>
          </w:p>
        </w:tc>
        <w:tc>
          <w:tcPr>
            <w:tcW w:w="1292" w:type="dxa"/>
            <w:tcBorders>
              <w:left w:val="single" w:sz="4" w:space="0" w:color="000000"/>
              <w:bottom w:val="single" w:sz="4" w:space="0" w:color="000000"/>
            </w:tcBorders>
          </w:tcPr>
          <w:p>
            <w:pPr>
              <w:pStyle w:val="Normal"/>
              <w:snapToGrid w:val="false"/>
              <w:spacing w:lineRule="auto" w:line="240" w:before="0" w:after="0"/>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spacing w:lineRule="auto" w:line="240" w:before="0" w:after="0"/>
              <w:jc w:val="center"/>
              <w:rPr>
                <w:highlight w:val="none"/>
                <w:shd w:fill="auto" w:val="clear"/>
              </w:rPr>
            </w:pPr>
            <w:r>
              <w:rPr>
                <w:rFonts w:eastAsia="" w:cs="Times New Roman" w:ascii="Times New Roman" w:hAnsi="Times New Roman"/>
                <w:sz w:val="22"/>
                <w:szCs w:val="22"/>
                <w:shd w:fill="auto" w:val="clear"/>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cs="Times New Roman" w:ascii="Times New Roman" w:hAnsi="Times New Roman"/>
                <w:sz w:val="22"/>
                <w:szCs w:val="22"/>
                <w:shd w:fill="auto" w:val="clear"/>
              </w:rPr>
              <w:t>По итогам 2025 года обеспечен учет объемов энергетических ресурсов в бюджетных учреждениях и организациях; заменены лампы накаливания на энергосберегающие, заменены электрооборудования на более эффективные, улучшилась тепловая изоляция ограждающих конструкций, утеплены входные двери и окна. Снижены:</w:t>
            </w:r>
          </w:p>
          <w:p>
            <w:pPr>
              <w:pStyle w:val="Normal"/>
              <w:spacing w:lineRule="auto" w:line="240" w:before="0" w:after="0"/>
              <w:jc w:val="both"/>
              <w:rPr>
                <w:highlight w:val="none"/>
                <w:shd w:fill="auto" w:val="clear"/>
              </w:rPr>
            </w:pPr>
            <w:r>
              <w:rPr>
                <w:rFonts w:cs="Times New Roman" w:ascii="Times New Roman" w:hAnsi="Times New Roman"/>
                <w:sz w:val="22"/>
                <w:szCs w:val="22"/>
                <w:shd w:fill="auto" w:val="clear"/>
              </w:rPr>
              <w:t>удельный расход электрической энергии на снабжение органов местного самоуправления и муниципальных учреждений с 10,41 кВтч/кв.м в 2024 году до 10,10 кВтч/кв.м в 2025 году;</w:t>
            </w:r>
          </w:p>
          <w:p>
            <w:pPr>
              <w:pStyle w:val="Normal"/>
              <w:spacing w:lineRule="auto" w:line="240" w:before="0" w:after="0"/>
              <w:jc w:val="both"/>
              <w:rPr>
                <w:highlight w:val="none"/>
                <w:shd w:fill="auto" w:val="clear"/>
              </w:rPr>
            </w:pPr>
            <w:r>
              <w:rPr>
                <w:rFonts w:cs="Times New Roman" w:ascii="Times New Roman" w:hAnsi="Times New Roman"/>
                <w:sz w:val="22"/>
                <w:szCs w:val="22"/>
                <w:shd w:fill="auto" w:val="clear"/>
              </w:rPr>
              <w:t>удельный расход тепловой энергии на снабжение органов местного самоуправления и муниципальных учреждений с 0,105 Гкал/кв. м отапливаемой площади в 2024 году до 0,102 кВтч/кв.м в 2025 году.</w:t>
            </w:r>
          </w:p>
          <w:p>
            <w:pPr>
              <w:pStyle w:val="Normal"/>
              <w:spacing w:lineRule="auto" w:line="240" w:before="0" w:after="0"/>
              <w:jc w:val="both"/>
              <w:rPr>
                <w:highlight w:val="none"/>
                <w:shd w:fill="auto" w:val="clear"/>
              </w:rPr>
            </w:pPr>
            <w:r>
              <w:rPr>
                <w:rFonts w:cs="Times New Roman" w:ascii="Times New Roman" w:hAnsi="Times New Roman"/>
                <w:sz w:val="22"/>
                <w:szCs w:val="22"/>
                <w:shd w:fill="auto" w:val="clear"/>
              </w:rPr>
              <w:t>Затраты за потребленные энергетические ресурсы составили более 20 тыс. рублей.</w:t>
            </w:r>
          </w:p>
        </w:tc>
      </w:tr>
      <w:tr>
        <w:trPr/>
        <w:tc>
          <w:tcPr>
            <w:tcW w:w="7192" w:type="dxa"/>
            <w:gridSpan w:val="5"/>
            <w:tcBorders>
              <w:left w:val="single" w:sz="4" w:space="0" w:color="000000"/>
              <w:bottom w:val="single" w:sz="4" w:space="0" w:color="000000"/>
              <w:right w:val="single" w:sz="4" w:space="0" w:color="000000"/>
            </w:tcBorders>
          </w:tcPr>
          <w:p>
            <w:pPr>
              <w:pStyle w:val="Normal"/>
              <w:spacing w:lineRule="auto" w:line="240" w:before="0" w:after="29"/>
              <w:jc w:val="both"/>
              <w:rPr>
                <w:rFonts w:ascii="Times New Roman" w:hAnsi="Times New Roman" w:cs="Times New Roman"/>
                <w:sz w:val="22"/>
                <w:szCs w:val="22"/>
                <w:lang w:eastAsia="ru-RU"/>
              </w:rPr>
            </w:pPr>
            <w:r>
              <w:rPr>
                <w:rFonts w:cs="Times New Roman" w:ascii="Times New Roman" w:hAnsi="Times New Roman"/>
                <w:b/>
                <w:bCs/>
                <w:sz w:val="22"/>
                <w:szCs w:val="22"/>
                <w:lang w:eastAsia="ru-RU"/>
              </w:rPr>
              <w:t>3.4. Осуществление дорожной деятельности и обеспечение безопасности дорожного дви</w:t>
              <w:softHyphen/>
              <w:t>жения</w:t>
            </w:r>
          </w:p>
        </w:tc>
        <w:tc>
          <w:tcPr>
            <w:tcW w:w="234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Доля протяженности автомобильных дорог общего пользования местного значения, не отвечающих нор</w:t>
              <w:softHyphen/>
              <w:t>мативным требова</w:t>
              <w:softHyphen/>
              <w:t>ниям, в общей про</w:t>
              <w:softHyphen/>
              <w:t>тяженности автомо</w:t>
              <w:softHyphen/>
              <w:t>бильных дорог об</w:t>
              <w:softHyphen/>
              <w:t>щего пользования местного значения</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процентов</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x</w:t>
            </w:r>
          </w:p>
        </w:tc>
        <w:tc>
          <w:tcPr>
            <w:tcW w:w="3569" w:type="dxa"/>
            <w:tcBorders>
              <w:left w:val="single" w:sz="4" w:space="0" w:color="000000"/>
              <w:bottom w:val="single" w:sz="4" w:space="0" w:color="000000"/>
              <w:right w:val="single" w:sz="4" w:space="0" w:color="000000"/>
            </w:tcBorders>
          </w:tcPr>
          <w:p>
            <w:pPr>
              <w:pStyle w:val="BlockText"/>
              <w:tabs>
                <w:tab w:val="left" w:pos="708" w:leader="none"/>
                <w:tab w:val="left" w:pos="4320" w:leader="none"/>
              </w:tabs>
              <w:ind w:hanging="0" w:left="0" w:right="0"/>
              <w:jc w:val="both"/>
              <w:rPr>
                <w:rFonts w:eastAsia="font283" w:cs="Times New Roman"/>
                <w:color w:val="000000"/>
                <w:sz w:val="22"/>
                <w:szCs w:val="22"/>
              </w:rPr>
            </w:pPr>
            <w:r>
              <w:rPr>
                <w:rFonts w:eastAsia="font283" w:cs="Times New Roman"/>
                <w:color w:val="000000"/>
                <w:sz w:val="22"/>
                <w:szCs w:val="22"/>
              </w:rPr>
              <w:t>Согласно статистического отчета 3-ДГ (МО) за 2025 год  доля протяженности автомобильных дорог общего пользования местного значения, не отвечающих нормативным требованиям, в общей про</w:t>
              <w:softHyphen/>
              <w:t>тяженности автомобильных дорог общего пользования составляет 31,3%.</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3.4.1.</w:t>
            </w:r>
          </w:p>
        </w:tc>
        <w:tc>
          <w:tcPr>
            <w:tcW w:w="2863" w:type="dxa"/>
            <w:tcBorders>
              <w:left w:val="single" w:sz="4" w:space="0" w:color="000000"/>
              <w:bottom w:val="single" w:sz="4" w:space="0" w:color="000000"/>
              <w:right w:val="single" w:sz="4" w:space="0" w:color="000000"/>
            </w:tcBorders>
          </w:tcPr>
          <w:p>
            <w:pPr>
              <w:pStyle w:val="ConsPlusNormal"/>
              <w:spacing w:lineRule="auto" w:line="240" w:before="0" w:after="0"/>
              <w:jc w:val="both"/>
              <w:rPr/>
            </w:pPr>
            <w:r>
              <w:rPr>
                <w:rFonts w:cs="Times New Roman"/>
                <w:sz w:val="22"/>
                <w:szCs w:val="22"/>
              </w:rPr>
              <w:t>Предоставление качественных транспортных услуг</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Муниципальная программа «Развитие транспортной системы»</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муниципального хозяйства, транспорта, до</w:t>
              <w:softHyphen/>
              <w:t>рожной деятельности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ConsPlusNonformat"/>
              <w:numPr>
                <w:ilvl w:val="0"/>
                <w:numId w:val="0"/>
              </w:numPr>
              <w:ind w:hanging="0" w:left="0" w:right="0"/>
              <w:jc w:val="both"/>
              <w:outlineLvl w:val="0"/>
              <w:rPr/>
            </w:pPr>
            <w:r>
              <w:rPr>
                <w:rFonts w:eastAsia="font283" w:cs="Times New Roman" w:ascii="Times New Roman" w:hAnsi="Times New Roman"/>
                <w:color w:val="000000"/>
                <w:sz w:val="22"/>
                <w:szCs w:val="22"/>
              </w:rPr>
              <w:t xml:space="preserve">В 2025 году управлением муниципального хозяйства АТМО СК заключен </w:t>
            </w:r>
            <w:r>
              <w:rPr>
                <w:rFonts w:cs="Times New Roman" w:ascii="Times New Roman" w:hAnsi="Times New Roman"/>
                <w:sz w:val="22"/>
                <w:szCs w:val="22"/>
              </w:rPr>
              <w:t xml:space="preserve">муниципальный контракт № 3-ЭА/24 </w:t>
            </w:r>
            <w:r>
              <w:rPr>
                <w:rFonts w:cs="Times New Roman" w:ascii="Times New Roman" w:hAnsi="Times New Roman"/>
                <w:bCs/>
                <w:sz w:val="22"/>
                <w:szCs w:val="22"/>
              </w:rPr>
              <w:t>на выполнение работ, связанных с осуществлением регулярных перевозок пассажиров автомобильным транспортом по регулируемым тарифам по муниципальному маршруту регулярных перевозок № 101, № 102, 103, 104, 105 на территории Туркменского муниципального округа Ставропольского края.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3.4.2.</w:t>
            </w:r>
          </w:p>
        </w:tc>
        <w:tc>
          <w:tcPr>
            <w:tcW w:w="14627" w:type="dxa"/>
            <w:gridSpan w:val="8"/>
            <w:tcBorders>
              <w:left w:val="single" w:sz="4" w:space="0" w:color="000000"/>
              <w:bottom w:val="single" w:sz="4" w:space="0" w:color="000000"/>
              <w:right w:val="single" w:sz="4" w:space="0" w:color="000000"/>
            </w:tcBorders>
          </w:tcPr>
          <w:p>
            <w:pPr>
              <w:pStyle w:val="ConsPlusNormal"/>
              <w:spacing w:before="0" w:after="200"/>
              <w:jc w:val="both"/>
              <w:rPr>
                <w:rFonts w:ascii="Times New Roman" w:hAnsi="Times New Roman" w:cs="Times New Roman"/>
                <w:sz w:val="22"/>
                <w:szCs w:val="22"/>
              </w:rPr>
            </w:pPr>
            <w:r>
              <w:rPr>
                <w:rFonts w:cs="Times New Roman"/>
                <w:sz w:val="22"/>
                <w:szCs w:val="22"/>
              </w:rPr>
              <w:t>Осуществление реконструкции (модернизации) действующих и строительство новых объектов транспортной инфраструктуры (автодорог, тротуаров  и т.д.)</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3.4.3.</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Организация регулярных перевозок пассажиров и багажа транспортными средствами общего пользования на территории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Проведение конкурсов на осуществление регулярных пассажирских перевозок населения по регулируемым тарифам на внутри муниципальных маршрутах</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Муниципальная программа «Развитие транспортной системы и обеспечение безо</w:t>
              <w:softHyphen/>
              <w:t>пасности дорожного движения»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муниципального хозяйства, транспорта, до</w:t>
              <w:softHyphen/>
              <w:t>рожной деятельности АТМО СК,  территориальные управ</w:t>
              <w:softHyphen/>
              <w:t>ления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r>
          </w:p>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r>
          </w:p>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ежегодно</w:t>
            </w:r>
          </w:p>
        </w:tc>
        <w:tc>
          <w:tcPr>
            <w:tcW w:w="3569" w:type="dxa"/>
            <w:tcBorders>
              <w:left w:val="single" w:sz="4" w:space="0" w:color="000000"/>
              <w:bottom w:val="single" w:sz="4" w:space="0" w:color="000000"/>
              <w:right w:val="single" w:sz="4" w:space="0" w:color="000000"/>
            </w:tcBorders>
          </w:tcPr>
          <w:p>
            <w:pPr>
              <w:pStyle w:val="ConsPlusNonformat"/>
              <w:numPr>
                <w:ilvl w:val="0"/>
                <w:numId w:val="0"/>
              </w:numPr>
              <w:ind w:hanging="0" w:left="0" w:right="0"/>
              <w:jc w:val="both"/>
              <w:outlineLvl w:val="0"/>
              <w:rPr/>
            </w:pPr>
            <w:r>
              <w:rPr>
                <w:rFonts w:eastAsia="font283" w:cs="Times New Roman" w:ascii="Times New Roman" w:hAnsi="Times New Roman"/>
                <w:color w:val="000000"/>
                <w:sz w:val="22"/>
                <w:szCs w:val="22"/>
              </w:rPr>
              <w:t xml:space="preserve">В 2025 году управлением муниципального хозяйства АТМО СК заключен </w:t>
            </w:r>
            <w:r>
              <w:rPr>
                <w:rFonts w:cs="Times New Roman" w:ascii="Times New Roman" w:hAnsi="Times New Roman"/>
                <w:sz w:val="22"/>
                <w:szCs w:val="22"/>
              </w:rPr>
              <w:t xml:space="preserve">муниципальный контракт № 3-ЭА/24 </w:t>
            </w:r>
            <w:r>
              <w:rPr>
                <w:rFonts w:cs="Times New Roman" w:ascii="Times New Roman" w:hAnsi="Times New Roman"/>
                <w:bCs/>
                <w:sz w:val="22"/>
                <w:szCs w:val="22"/>
              </w:rPr>
              <w:t>на выполнение работ, связанных с осуществлением регулярных перевозок пассажиров автомобильным транспортом по регулируемым тарифам по муниципальному маршруту регулярных перевозок №101, №102, 103, 104, 105 на территории Туркменского муниципального округа Ставропольского края.</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Регулярный мониторинг пассажиропотоков и оптимизация расписания на ключевых муниципальных маршрутах регулярных перевозок</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Муниципальная программа «Развитие транспортной системы и обеспечение безо</w:t>
              <w:softHyphen/>
              <w:t>пасности дорожного движения»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муниципального хозяйства, транспорта, до</w:t>
              <w:softHyphen/>
              <w:t>рожной деятельности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r>
          </w:p>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r>
          </w:p>
          <w:p>
            <w:pPr>
              <w:pStyle w:val="Normal"/>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snapToGrid w:val="false"/>
              <w:spacing w:lineRule="auto" w:line="240" w:before="0" w:after="0"/>
              <w:jc w:val="center"/>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snapToGrid w:val="false"/>
              <w:spacing w:lineRule="auto" w:line="240" w:before="0" w:after="0"/>
              <w:jc w:val="center"/>
              <w:rPr>
                <w:highlight w:val="none"/>
                <w:shd w:fill="auto" w:val="clear"/>
              </w:rPr>
            </w:pPr>
            <w:r>
              <w:rPr>
                <w:rFonts w:cs="Times New Roman" w:ascii="Times New Roman" w:hAnsi="Times New Roman"/>
                <w:sz w:val="22"/>
                <w:szCs w:val="22"/>
                <w:shd w:fill="auto" w:val="clear"/>
              </w:rPr>
              <w:t>ежегодно</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highlight w:val="none"/>
                <w:shd w:fill="auto" w:val="clear"/>
              </w:rPr>
            </w:pPr>
            <w:r>
              <w:rPr>
                <w:rFonts w:cs="Times New Roman" w:ascii="Times New Roman" w:hAnsi="Times New Roman"/>
                <w:sz w:val="22"/>
                <w:szCs w:val="22"/>
                <w:shd w:fill="auto" w:val="clear"/>
              </w:rPr>
              <w:t xml:space="preserve">Регулярно проводится </w:t>
            </w:r>
            <w:r>
              <w:rPr>
                <w:rFonts w:eastAsia="" w:cs="Times New Roman" w:ascii="Times New Roman" w:hAnsi="Times New Roman"/>
                <w:sz w:val="22"/>
                <w:szCs w:val="22"/>
                <w:shd w:fill="auto" w:val="clear"/>
                <w:lang w:eastAsia="ru-RU"/>
              </w:rPr>
              <w:t>мониторинг пассажиропотоков и ведется работа по оптимизации расписания на ключевых муниципальных маршрутах регулярных перевозок. По итогам 2025 года пассажиропоток составил 6,257 тыс. человек.</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3.4.4.</w:t>
            </w:r>
          </w:p>
        </w:tc>
        <w:tc>
          <w:tcPr>
            <w:tcW w:w="14627" w:type="dxa"/>
            <w:gridSpan w:val="8"/>
            <w:tcBorders>
              <w:left w:val="single" w:sz="4" w:space="0" w:color="000000"/>
              <w:bottom w:val="single" w:sz="4" w:space="0" w:color="000000"/>
              <w:right w:val="single" w:sz="4" w:space="0" w:color="000000"/>
            </w:tcBorders>
          </w:tcPr>
          <w:p>
            <w:pPr>
              <w:pStyle w:val="ConsPlusNormal"/>
              <w:spacing w:before="0" w:after="200"/>
              <w:jc w:val="both"/>
              <w:rPr>
                <w:rFonts w:ascii="Times New Roman" w:hAnsi="Times New Roman" w:cs="Times New Roman"/>
                <w:sz w:val="22"/>
                <w:szCs w:val="22"/>
              </w:rPr>
            </w:pPr>
            <w:r>
              <w:rPr>
                <w:rFonts w:cs="Times New Roman"/>
                <w:sz w:val="22"/>
                <w:szCs w:val="22"/>
              </w:rPr>
              <w:t>Обеспечение эффективной и добросовестной конкуренции на рынке работ и услуг при осуществлении дорожной деятельности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Heading1"/>
              <w:numPr>
                <w:ilvl w:val="0"/>
                <w:numId w:val="1"/>
              </w:numPr>
              <w:shd w:val="clear" w:fill="FFFFFF"/>
              <w:spacing w:before="0" w:after="0"/>
              <w:ind w:hanging="0" w:left="0" w:right="0"/>
              <w:jc w:val="both"/>
              <w:rPr/>
            </w:pPr>
            <w:r>
              <w:rPr>
                <w:rFonts w:cs="Times New Roman"/>
                <w:b w:val="false"/>
                <w:color w:val="000000"/>
                <w:sz w:val="22"/>
                <w:szCs w:val="22"/>
                <w:lang w:eastAsia="ru-RU"/>
              </w:rPr>
              <w:t>Проведения конкурсов (аукционов) по ремонту участков автомобильных дорог общего пользования местного значения в рамках Федерального за</w:t>
              <w:softHyphen/>
              <w:t>кона от 05.04.2013 №44-ФЗ «О кон</w:t>
              <w:softHyphen/>
              <w:t>трактной системе в сфере закупок товаров, работ, услуг для обеспече</w:t>
              <w:softHyphen/>
              <w:t>ния государственных и муниципаль</w:t>
              <w:softHyphen/>
              <w:t>ных нужд»</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Муниципальная программа «Развитие транспортной системы и обеспечение безопасности дорожного движения»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Управление муниципального хозяйства, транспорта, до</w:t>
              <w:softHyphen/>
              <w:t>рожной деятельности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snapToGrid w:val="false"/>
              <w:spacing w:lineRule="auto" w:line="240" w:before="0" w:after="0"/>
              <w:jc w:val="center"/>
              <w:rPr>
                <w:rFonts w:ascii="Times New Roman" w:hAnsi="Times New Roman" w:cs="Times New Roman"/>
                <w:color w:val="000000"/>
                <w:sz w:val="22"/>
                <w:szCs w:val="22"/>
              </w:rPr>
            </w:pPr>
            <w:r>
              <w:rPr>
                <w:rFonts w:cs="Times New Roman" w:ascii="Times New Roman" w:hAnsi="Times New Roman"/>
                <w:color w:val="000000"/>
                <w:sz w:val="22"/>
                <w:szCs w:val="22"/>
              </w:rPr>
              <w:t>х</w:t>
            </w:r>
          </w:p>
        </w:tc>
        <w:tc>
          <w:tcPr>
            <w:tcW w:w="3569" w:type="dxa"/>
            <w:tcBorders>
              <w:left w:val="single" w:sz="4" w:space="0" w:color="000000"/>
              <w:bottom w:val="single" w:sz="4" w:space="0" w:color="000000"/>
              <w:right w:val="single" w:sz="4" w:space="0" w:color="000000"/>
            </w:tcBorders>
          </w:tcPr>
          <w:p>
            <w:pPr>
              <w:pStyle w:val="Heading1"/>
              <w:numPr>
                <w:ilvl w:val="0"/>
                <w:numId w:val="1"/>
              </w:numPr>
              <w:shd w:val="clear" w:fill="FFFFFF"/>
              <w:spacing w:before="0" w:after="0"/>
              <w:ind w:hanging="0" w:left="0" w:right="0"/>
              <w:jc w:val="both"/>
              <w:rPr/>
            </w:pPr>
            <w:r>
              <w:rPr>
                <w:rFonts w:cs="Times New Roman"/>
                <w:b w:val="false"/>
                <w:color w:val="000000"/>
                <w:sz w:val="22"/>
                <w:szCs w:val="22"/>
                <w:lang w:eastAsia="ru-RU"/>
              </w:rPr>
              <w:t>Проведены конкурсные процедуры по ремонту участков автомобильных дорог общего пользования местного значения в рамках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3.4.5.</w:t>
            </w:r>
          </w:p>
        </w:tc>
        <w:tc>
          <w:tcPr>
            <w:tcW w:w="14627" w:type="dxa"/>
            <w:gridSpan w:val="8"/>
            <w:tcBorders>
              <w:left w:val="single" w:sz="4" w:space="0" w:color="000000"/>
              <w:bottom w:val="single" w:sz="4" w:space="0" w:color="000000"/>
              <w:right w:val="single" w:sz="4" w:space="0" w:color="000000"/>
            </w:tcBorders>
          </w:tcPr>
          <w:p>
            <w:pPr>
              <w:pStyle w:val="ConsPlusNormal"/>
              <w:spacing w:before="0" w:after="200"/>
              <w:jc w:val="both"/>
              <w:rPr>
                <w:rFonts w:ascii="Times New Roman" w:hAnsi="Times New Roman" w:cs="Times New Roman"/>
                <w:sz w:val="22"/>
                <w:szCs w:val="22"/>
              </w:rPr>
            </w:pPr>
            <w:r>
              <w:rPr>
                <w:rFonts w:cs="Times New Roman"/>
                <w:sz w:val="22"/>
                <w:szCs w:val="22"/>
              </w:rPr>
              <w:t>Улучшение качества автомобильных дорог, создание парковок (парковочных мест)</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Проведение ремонта участков автомобильных дорог общего пользования местного значения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color w:val="000000"/>
                <w:sz w:val="22"/>
                <w:szCs w:val="22"/>
                <w:lang w:eastAsia="ru-RU"/>
              </w:rPr>
            </w:pPr>
            <w:r>
              <w:rPr>
                <w:rFonts w:eastAsia="" w:cs="Times New Roman" w:ascii="Times New Roman" w:hAnsi="Times New Roman"/>
                <w:color w:val="000000"/>
                <w:sz w:val="22"/>
                <w:szCs w:val="22"/>
                <w:lang w:eastAsia="ru-RU"/>
              </w:rPr>
              <w:t>Муниципальная программа «Развитие транспортной системы и обеспечение безопасности дорожного движения»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Управление муниципального хозяйства, транспорта, до</w:t>
              <w:softHyphen/>
              <w:t>рожной деятельности АТМО СК,  территориальные управления  АТМО СК</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pPr>
            <w:r>
              <w:rPr>
                <w:rFonts w:eastAsia="" w:cs="Times New Roman" w:ascii="Times New Roman" w:hAnsi="Times New Roman"/>
                <w:sz w:val="22"/>
                <w:szCs w:val="22"/>
                <w:lang w:eastAsia="ru-RU"/>
              </w:rPr>
              <w:t>Р</w:t>
            </w:r>
            <w:r>
              <w:rPr>
                <w:rFonts w:eastAsia="" w:cs="Times New Roman" w:ascii="Times New Roman" w:hAnsi="Times New Roman"/>
                <w:color w:val="000000"/>
                <w:sz w:val="22"/>
                <w:szCs w:val="22"/>
                <w:lang w:eastAsia="ru-RU"/>
              </w:rPr>
              <w:t>емонт участков ав</w:t>
              <w:softHyphen/>
              <w:t>томобильных дорог общего пользования местного значения</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км</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r>
          </w:p>
        </w:tc>
        <w:tc>
          <w:tcPr>
            <w:tcW w:w="3569" w:type="dxa"/>
            <w:tcBorders>
              <w:left w:val="single" w:sz="4" w:space="0" w:color="000000"/>
              <w:bottom w:val="single" w:sz="4" w:space="0" w:color="000000"/>
              <w:right w:val="single" w:sz="4" w:space="0" w:color="000000"/>
            </w:tcBorders>
          </w:tcPr>
          <w:p>
            <w:pPr>
              <w:pStyle w:val="Normal"/>
              <w:widowControl/>
              <w:suppressAutoHyphens w:val="false"/>
              <w:bidi w:val="0"/>
              <w:spacing w:lineRule="auto" w:line="240" w:before="0" w:after="0"/>
              <w:ind w:right="0"/>
              <w:jc w:val="both"/>
              <w:rPr>
                <w:rFonts w:ascii="Times New Roman" w:hAnsi="Times New Roman" w:cs="Times New Roman"/>
                <w:i w:val="false"/>
                <w:i w:val="false"/>
                <w:iCs w:val="false"/>
                <w:color w:val="000000"/>
                <w:sz w:val="22"/>
                <w:szCs w:val="22"/>
                <w:shd w:fill="FFFFFF" w:val="clear"/>
              </w:rPr>
            </w:pPr>
            <w:r>
              <w:rPr>
                <w:rFonts w:cs="Times New Roman" w:ascii="Times New Roman" w:hAnsi="Times New Roman"/>
                <w:i w:val="false"/>
                <w:iCs w:val="false"/>
                <w:color w:val="000000"/>
                <w:sz w:val="22"/>
                <w:szCs w:val="22"/>
                <w:shd w:fill="FFFFFF" w:val="clear"/>
              </w:rPr>
              <w:t>По госпрограмме Ставропольского края «Развитие транспортной системы» в 2025 году на ремонт автомобильных дорог направлено 95,906 млн. рублей, в том числе:  средства бюджета Ставропольского края — 91,099 млн. рублей, средства бюджета Туркменского муниципального округа Ставропольского края —4,806 млн. рублей. Отремонтировано 10 автомобильных дорог общего пользования местного значения общей протяженностью – 5,507 км, Проведен ремонт автомобильных дорог общего пользования местного значения:</w:t>
            </w:r>
          </w:p>
          <w:p>
            <w:pPr>
              <w:pStyle w:val="Normal"/>
              <w:widowControl/>
              <w:suppressAutoHyphens w:val="false"/>
              <w:bidi w:val="0"/>
              <w:spacing w:lineRule="auto" w:line="240" w:before="0" w:after="0"/>
              <w:ind w:right="0"/>
              <w:jc w:val="both"/>
              <w:rPr>
                <w:rFonts w:ascii="Times New Roman" w:hAnsi="Times New Roman" w:eastAsia="Times New Roman" w:cs="Times New Roman"/>
                <w:i w:val="false"/>
                <w:i w:val="false"/>
                <w:iCs w:val="false"/>
                <w:color w:val="000000"/>
                <w:sz w:val="22"/>
                <w:szCs w:val="22"/>
                <w:shd w:fill="FFFFFF" w:val="clear"/>
              </w:rPr>
            </w:pPr>
            <w:r>
              <w:rPr>
                <w:rFonts w:eastAsia="Times New Roman" w:cs="Times New Roman" w:ascii="Times New Roman" w:hAnsi="Times New Roman"/>
                <w:i w:val="false"/>
                <w:iCs w:val="false"/>
                <w:color w:val="000000"/>
                <w:sz w:val="22"/>
                <w:szCs w:val="22"/>
                <w:shd w:fill="FFFFFF" w:val="clear"/>
              </w:rPr>
              <w:t>- с. Летняя Ставка (ул.Заречная, пер.Северный, пер.Западный, пер.Юбилейный, ул.Аммамуратова, ул.Советская от д.72 до д.130а, пер.Речной и а/д от с.Летняя Ставка до а/д Камбулат-Летняя Ставка-Ясный-Новокучерлинский);</w:t>
            </w:r>
          </w:p>
          <w:p>
            <w:pPr>
              <w:pStyle w:val="Normal"/>
              <w:widowControl/>
              <w:suppressAutoHyphens w:val="false"/>
              <w:bidi w:val="0"/>
              <w:spacing w:lineRule="auto" w:line="240" w:before="0" w:after="29"/>
              <w:ind w:right="0"/>
              <w:jc w:val="both"/>
              <w:rPr>
                <w:rFonts w:ascii="Times New Roman" w:hAnsi="Times New Roman" w:eastAsia="Times New Roman" w:cs="Times New Roman"/>
                <w:b w:val="false"/>
                <w:i w:val="false"/>
                <w:i w:val="false"/>
                <w:iCs w:val="false"/>
                <w:strike w:val="false"/>
                <w:dstrike w:val="false"/>
                <w:outline w:val="false"/>
                <w:shadow w:val="false"/>
                <w:color w:val="000000"/>
                <w:sz w:val="22"/>
                <w:szCs w:val="22"/>
                <w:u w:val="none"/>
                <w:shd w:fill="FFFFFF" w:val="clear"/>
                <w:em w:val="none"/>
              </w:rPr>
            </w:pPr>
            <w:r>
              <w:rPr>
                <w:rFonts w:eastAsia="Times New Roman" w:cs="Times New Roman" w:ascii="Times New Roman" w:hAnsi="Times New Roman"/>
                <w:b w:val="false"/>
                <w:i w:val="false"/>
                <w:iCs w:val="false"/>
                <w:strike w:val="false"/>
                <w:dstrike w:val="false"/>
                <w:outline w:val="false"/>
                <w:shadow w:val="false"/>
                <w:color w:val="000000"/>
                <w:sz w:val="22"/>
                <w:szCs w:val="22"/>
                <w:u w:val="none"/>
                <w:shd w:fill="FFFFFF" w:val="clear"/>
                <w:em w:val="none"/>
              </w:rPr>
              <w:t>- с.Кендже-Кулак (ул.Октябрьская и участок от рег.трассы "Журавское-Благодарный-Кучерла-Красный Маныч" до кладбища).</w:t>
            </w:r>
          </w:p>
        </w:tc>
      </w:tr>
      <w:tr>
        <w:trPr/>
        <w:tc>
          <w:tcPr>
            <w:tcW w:w="15353" w:type="dxa"/>
            <w:gridSpan w:val="9"/>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eastAsia="" w:cs="Times New Roman" w:ascii="Times New Roman" w:hAnsi="Times New Roman"/>
                <w:b/>
                <w:sz w:val="22"/>
                <w:szCs w:val="22"/>
                <w:lang w:eastAsia="ru-RU"/>
              </w:rPr>
              <w:t>3.5. Основные направления рационального природопользования и обеспечение экологической безопасности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3.5.1.</w:t>
            </w:r>
          </w:p>
        </w:tc>
        <w:tc>
          <w:tcPr>
            <w:tcW w:w="14627" w:type="dxa"/>
            <w:gridSpan w:val="8"/>
            <w:tcBorders>
              <w:left w:val="single" w:sz="4" w:space="0" w:color="000000"/>
              <w:bottom w:val="single" w:sz="4" w:space="0" w:color="000000"/>
              <w:right w:val="single" w:sz="4" w:space="0" w:color="000000"/>
            </w:tcBorders>
          </w:tcPr>
          <w:p>
            <w:pPr>
              <w:pStyle w:val="ConsPlusNormal"/>
              <w:spacing w:before="0" w:after="200"/>
              <w:jc w:val="both"/>
              <w:rPr>
                <w:rFonts w:ascii="Times New Roman" w:hAnsi="Times New Roman" w:cs="Times New Roman"/>
                <w:sz w:val="22"/>
                <w:szCs w:val="22"/>
              </w:rPr>
            </w:pPr>
            <w:r>
              <w:rPr>
                <w:rFonts w:cs="Times New Roman"/>
                <w:sz w:val="22"/>
                <w:szCs w:val="22"/>
              </w:rPr>
              <w:t>Сокращение объемов выбросов в атмосферу</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Доведение до сведения сельскохо</w:t>
              <w:softHyphen/>
              <w:t>зяйственных товаропроизводителей  округа о необходимости соблюдения природоохранного законодательства и публикация соответствующий ста</w:t>
              <w:softHyphen/>
              <w:t>тей на сайте АТМО СК</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охрана окружающей среды АТМО СК; сельскохозяйст</w:t>
              <w:softHyphen/>
              <w:t>венные товаропроизводители</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статей экологической на</w:t>
              <w:softHyphen/>
              <w:t>правленности, раз</w:t>
              <w:softHyphen/>
              <w:t>мещенных на сайте АТМО СК</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sz w:val="22"/>
                <w:szCs w:val="22"/>
                <w:shd w:fill="FFFFFF" w:val="clear"/>
                <w:lang w:eastAsia="ru-RU"/>
              </w:rPr>
              <w:t>До сведения сельскохо</w:t>
              <w:softHyphen/>
              <w:t>зяйственных товаропроизводителей  округа путем р</w:t>
            </w:r>
            <w:r>
              <w:rPr>
                <w:rFonts w:cs="Times New Roman" w:ascii="Times New Roman" w:hAnsi="Times New Roman"/>
                <w:sz w:val="22"/>
                <w:szCs w:val="22"/>
              </w:rPr>
              <w:t xml:space="preserve">азмещения информации на сайте, социальных сетях и с использованием средств мобильной связи и сети «Интернет»  доводится информация </w:t>
            </w:r>
            <w:r>
              <w:rPr>
                <w:rFonts w:eastAsia="" w:cs="Times New Roman" w:ascii="Times New Roman" w:hAnsi="Times New Roman"/>
                <w:sz w:val="22"/>
                <w:szCs w:val="22"/>
                <w:shd w:fill="FFFFFF" w:val="clear"/>
                <w:lang w:eastAsia="ru-RU"/>
              </w:rPr>
              <w:t>о необходимости соблюдения природоохранного законодательства. Проводится публикация соответствующих ста</w:t>
              <w:softHyphen/>
              <w:t>тей на сайте АТМО СК.</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Приобретение современной сельско</w:t>
              <w:softHyphen/>
              <w:t>хозяйственной техники и оборудова</w:t>
              <w:softHyphen/>
              <w:t>ния, использование биодизельного топлива, что позволит сократить не</w:t>
              <w:softHyphen/>
              <w:t>гативные выбросы в окружающую среду</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Внепрограммные ме</w:t>
              <w:softHyphen/>
              <w:t>роприятия</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Сельскохозяйственные това</w:t>
              <w:softHyphen/>
              <w:t>ропроизводители (по согласо</w:t>
              <w:softHyphen/>
              <w:t>ванию)</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До сведения сельскохозяйственных товаропроизводителей доводится информация о преимуществах использования дизельного топлива, а также о необходимости охраны окружающей среды.</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3.5.2.</w:t>
            </w:r>
          </w:p>
        </w:tc>
        <w:tc>
          <w:tcPr>
            <w:tcW w:w="11058" w:type="dxa"/>
            <w:gridSpan w:val="7"/>
            <w:tcBorders>
              <w:left w:val="single" w:sz="4" w:space="0" w:color="000000"/>
              <w:bottom w:val="single" w:sz="4" w:space="0" w:color="000000"/>
            </w:tcBorders>
          </w:tcPr>
          <w:p>
            <w:pPr>
              <w:pStyle w:val="ConsPlusNormal"/>
              <w:spacing w:before="0" w:after="200"/>
              <w:jc w:val="both"/>
              <w:rPr>
                <w:rFonts w:ascii="Times New Roman" w:hAnsi="Times New Roman" w:cs="Times New Roman"/>
                <w:sz w:val="22"/>
                <w:szCs w:val="22"/>
                <w:shd w:fill="FFFFFF" w:val="clear"/>
              </w:rPr>
            </w:pPr>
            <w:r>
              <w:rPr>
                <w:rFonts w:cs="Times New Roman"/>
                <w:sz w:val="22"/>
                <w:szCs w:val="22"/>
                <w:shd w:fill="FFFFFF" w:val="clear"/>
              </w:rPr>
              <w:t>Сокращение воздействия на водные объекты</w:t>
            </w:r>
          </w:p>
        </w:tc>
        <w:tc>
          <w:tcPr>
            <w:tcW w:w="3569" w:type="dxa"/>
            <w:tcBorders>
              <w:left w:val="single" w:sz="4" w:space="0" w:color="000000"/>
              <w:bottom w:val="single" w:sz="4" w:space="0" w:color="000000"/>
              <w:right w:val="single" w:sz="4" w:space="0" w:color="000000"/>
            </w:tcBorders>
          </w:tcPr>
          <w:p>
            <w:pPr>
              <w:pStyle w:val="ConsPlusNormal"/>
              <w:snapToGrid w:val="false"/>
              <w:spacing w:before="0" w:after="200"/>
              <w:jc w:val="both"/>
              <w:rPr>
                <w:rFonts w:ascii="Times New Roman" w:hAnsi="Times New Roman" w:cs="Times New Roman"/>
                <w:sz w:val="22"/>
                <w:szCs w:val="22"/>
                <w:shd w:fill="FFFFFF" w:val="clear"/>
              </w:rPr>
            </w:pPr>
            <w:r>
              <w:rPr>
                <w:rFonts w:cs="Times New Roman"/>
                <w:sz w:val="22"/>
                <w:szCs w:val="22"/>
                <w:shd w:fill="FFFFFF" w:val="clear"/>
              </w:rPr>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Мероприятия по проведению на тер</w:t>
              <w:softHyphen/>
              <w:t>ритории округа Всероссийской ак</w:t>
              <w:softHyphen/>
              <w:t>ции по очистке от мусора берегов водных объектов «Вода России»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охраны окружающей среды АТМО СК; территориальные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Количество ежегод</w:t>
              <w:softHyphen/>
              <w:t>ных экологических акций и субботников, проведенных на тер</w:t>
              <w:softHyphen/>
              <w:t>ритории округа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ед.</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rPr>
            </w:pPr>
            <w:r>
              <w:rPr>
                <w:rFonts w:eastAsia="" w:cs="Times New Roman" w:ascii="Times New Roman" w:hAnsi="Times New Roman"/>
                <w:sz w:val="22"/>
                <w:szCs w:val="22"/>
              </w:rPr>
              <w:t>x</w:t>
            </w:r>
          </w:p>
        </w:tc>
        <w:tc>
          <w:tcPr>
            <w:tcW w:w="3569"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2"/>
                <w:szCs w:val="22"/>
                <w:shd w:fill="auto" w:val="clear"/>
              </w:rPr>
            </w:pPr>
            <w:r>
              <w:rPr>
                <w:rFonts w:cs="Times New Roman" w:ascii="Times New Roman" w:hAnsi="Times New Roman"/>
                <w:sz w:val="22"/>
                <w:szCs w:val="22"/>
                <w:shd w:fill="auto" w:val="clear"/>
              </w:rPr>
              <w:t>В 2025 году в рамках ежегодной экологической  акции «Сохраним природу Ставрополья» было проведено 15 субботников; в рамках акции «Вода России» 7 субботников.</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3.5.3.</w:t>
            </w:r>
          </w:p>
        </w:tc>
        <w:tc>
          <w:tcPr>
            <w:tcW w:w="11058" w:type="dxa"/>
            <w:gridSpan w:val="7"/>
            <w:tcBorders>
              <w:left w:val="single" w:sz="4" w:space="0" w:color="000000"/>
              <w:bottom w:val="single" w:sz="4" w:space="0" w:color="000000"/>
            </w:tcBorders>
          </w:tcPr>
          <w:p>
            <w:pPr>
              <w:pStyle w:val="ConsPlusNormal"/>
              <w:spacing w:before="0" w:after="200"/>
              <w:jc w:val="both"/>
              <w:rPr>
                <w:highlight w:val="none"/>
                <w:shd w:fill="auto" w:val="clear"/>
              </w:rPr>
            </w:pPr>
            <w:r>
              <w:rPr>
                <w:rFonts w:cs="Times New Roman"/>
                <w:sz w:val="22"/>
                <w:szCs w:val="22"/>
                <w:shd w:fill="auto" w:val="clear"/>
              </w:rPr>
              <w:t>Снижение аграрной нагрузки и предотвращение деградации земель</w:t>
            </w:r>
          </w:p>
        </w:tc>
        <w:tc>
          <w:tcPr>
            <w:tcW w:w="3569" w:type="dxa"/>
            <w:tcBorders>
              <w:left w:val="single" w:sz="4" w:space="0" w:color="000000"/>
              <w:bottom w:val="single" w:sz="4" w:space="0" w:color="000000"/>
              <w:right w:val="single" w:sz="4" w:space="0" w:color="000000"/>
            </w:tcBorders>
          </w:tcPr>
          <w:p>
            <w:pPr>
              <w:pStyle w:val="ConsPlusNormal"/>
              <w:snapToGrid w:val="false"/>
              <w:spacing w:before="0" w:after="200"/>
              <w:jc w:val="both"/>
              <w:rPr>
                <w:rFonts w:ascii="Times New Roman" w:hAnsi="Times New Roman" w:cs="Times New Roman"/>
                <w:sz w:val="22"/>
                <w:szCs w:val="22"/>
                <w:highlight w:val="none"/>
                <w:shd w:fill="auto" w:val="clear"/>
              </w:rPr>
            </w:pPr>
            <w:r>
              <w:rPr>
                <w:rFonts w:cs="Times New Roman"/>
                <w:sz w:val="22"/>
                <w:szCs w:val="22"/>
                <w:shd w:fill="auto" w:val="clear"/>
              </w:rPr>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rPr>
              <w:t>Мониторинг доли площадей посевов  сельскохозяйственных культур, на которой внесены органические удобрения в общей посевной пло</w:t>
              <w:softHyphen/>
              <w:t>щади и внесение удобрений</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rPr>
              <w:t>Муниципальная про</w:t>
              <w:softHyphen/>
              <w:t>грамма «Развитие сельского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rPr>
              <w:t>Отдел сельского хозяйства и охраны окружающей среды АТМО СК; сельскохозяйст</w:t>
              <w:softHyphen/>
              <w:t>венные товаропроизводители округа</w:t>
            </w:r>
          </w:p>
        </w:tc>
        <w:tc>
          <w:tcPr>
            <w:tcW w:w="2349"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rPr>
              <w:t>Доля площади посе</w:t>
              <w:softHyphen/>
              <w:t>вов сельскохозяйст</w:t>
              <w:softHyphen/>
              <w:t>венных культур, на которой внесены ор</w:t>
              <w:softHyphen/>
              <w:t>ганические удобре</w:t>
              <w:softHyphen/>
              <w:t>ния в общей посев</w:t>
              <w:softHyphen/>
              <w:t>ной площади сель</w:t>
              <w:softHyphen/>
              <w:t>скохозяйственных культур</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highlight w:val="none"/>
                <w:shd w:fill="auto" w:val="clear"/>
              </w:rPr>
            </w:pPr>
            <w:r>
              <w:rPr>
                <w:rFonts w:eastAsia="" w:cs="Times New Roman" w:ascii="Times New Roman" w:hAnsi="Times New Roman"/>
                <w:sz w:val="22"/>
                <w:szCs w:val="22"/>
                <w:shd w:fill="auto" w:val="clear"/>
              </w:rPr>
              <w:t>процент</w:t>
            </w:r>
          </w:p>
        </w:tc>
        <w:tc>
          <w:tcPr>
            <w:tcW w:w="1292" w:type="dxa"/>
            <w:tcBorders>
              <w:left w:val="single" w:sz="4" w:space="0" w:color="000000"/>
              <w:bottom w:val="single" w:sz="4" w:space="0" w:color="000000"/>
            </w:tcBorders>
          </w:tcPr>
          <w:p>
            <w:pPr>
              <w:pStyle w:val="Normal"/>
              <w:spacing w:lineRule="auto" w:line="240" w:before="0" w:after="0"/>
              <w:jc w:val="center"/>
              <w:rPr>
                <w:highlight w:val="none"/>
                <w:shd w:fill="auto" w:val="clear"/>
              </w:rPr>
            </w:pPr>
            <w:r>
              <w:rPr>
                <w:rFonts w:eastAsia="" w:cs="Times New Roman" w:ascii="Times New Roman" w:hAnsi="Times New Roman"/>
                <w:sz w:val="22"/>
                <w:szCs w:val="22"/>
                <w:shd w:fill="auto" w:val="clear"/>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cs="Times New Roman" w:ascii="Times New Roman" w:hAnsi="Times New Roman"/>
                <w:sz w:val="22"/>
                <w:szCs w:val="22"/>
                <w:shd w:fill="auto" w:val="clear"/>
              </w:rPr>
              <w:t xml:space="preserve">В 2025 году </w:t>
            </w:r>
            <w:r>
              <w:rPr>
                <w:rFonts w:eastAsia="" w:cs="Times New Roman" w:ascii="Times New Roman" w:hAnsi="Times New Roman"/>
                <w:sz w:val="22"/>
                <w:szCs w:val="22"/>
                <w:shd w:fill="auto" w:val="clear"/>
              </w:rPr>
              <w:t>площадь посевов  сельскохозяйственных культур, на которой внесены органические удобрения, составила 41,9 тыс. га или 46,3 % общей посевной пло</w:t>
              <w:softHyphen/>
              <w:t>щади.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Согласование проектов по рекульти</w:t>
              <w:softHyphen/>
              <w:t>вации земель сельскохозяйственного назначения</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Внепрограммное ме</w:t>
              <w:softHyphen/>
              <w:t>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Отдел сельского хозяйства и охраны окружающей среды АТМО СК; сельскохозяйст</w:t>
              <w:softHyphen/>
              <w:t>венные товаропроизводители округа</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pPr>
            <w:r>
              <w:rPr>
                <w:rFonts w:eastAsia="" w:cs="Times New Roman" w:ascii="Times New Roman" w:hAnsi="Times New Roman"/>
                <w:sz w:val="22"/>
                <w:szCs w:val="22"/>
                <w:shd w:fill="FFFFFF" w:val="clear"/>
              </w:rPr>
              <w:t>Отделом  сельского хозяйства и охраны окружающей среды АТМО СК п</w:t>
            </w:r>
            <w:r>
              <w:rPr>
                <w:rFonts w:cs="Times New Roman" w:ascii="Times New Roman" w:hAnsi="Times New Roman"/>
                <w:sz w:val="22"/>
                <w:szCs w:val="22"/>
                <w:shd w:fill="FFFFFF" w:val="clear"/>
              </w:rPr>
              <w:t>роводится анализ и рассмотрение целесообразности поступившего проекта рекультивации и производится его согласование.</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rPr>
              <w:t>Озеленение территории округа путем высадки деревьев и кустарников</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rPr>
              <w:t>Муниципальная про</w:t>
              <w:softHyphen/>
              <w:t>грамма «Развитие сельского хозяйства»,</w:t>
            </w:r>
          </w:p>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rPr>
              <w:t>«Развитие жилищно-коммунального хозяйства»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eastAsia="" w:cs="Times New Roman" w:ascii="Times New Roman" w:hAnsi="Times New Roman"/>
                <w:sz w:val="22"/>
                <w:szCs w:val="22"/>
                <w:shd w:fill="auto" w:val="clear"/>
              </w:rPr>
              <w:t xml:space="preserve">Отдел сельского хозяйства и охраны окружающей среды АТМО СК; </w:t>
            </w:r>
            <w:r>
              <w:rPr>
                <w:rFonts w:eastAsia="" w:cs="Times New Roman" w:ascii="Times New Roman" w:hAnsi="Times New Roman"/>
                <w:sz w:val="22"/>
                <w:szCs w:val="22"/>
                <w:shd w:fill="auto" w:val="clear"/>
                <w:lang w:eastAsia="ru-RU"/>
              </w:rPr>
              <w:t>Управление муниципального хозяйства, транспорта, до</w:t>
              <w:softHyphen/>
              <w:t>рожной деятельности АТМО СК,  территориальные управления  АТМО СК,</w:t>
            </w:r>
            <w:r>
              <w:rPr>
                <w:rFonts w:eastAsia="" w:cs="Times New Roman" w:ascii="Times New Roman" w:hAnsi="Times New Roman"/>
                <w:sz w:val="22"/>
                <w:szCs w:val="22"/>
                <w:shd w:fill="auto" w:val="clear"/>
              </w:rPr>
              <w:t xml:space="preserve"> территориальные управления АТМО СК; сель</w:t>
              <w:softHyphen/>
              <w:t>скохозяйственные товаропро</w:t>
              <w:softHyphen/>
              <w:t>изводители и население ок</w:t>
              <w:softHyphen/>
              <w:t>руга</w:t>
            </w:r>
          </w:p>
        </w:tc>
        <w:tc>
          <w:tcPr>
            <w:tcW w:w="2349" w:type="dxa"/>
            <w:tcBorders>
              <w:left w:val="single" w:sz="4" w:space="0" w:color="000000"/>
              <w:bottom w:val="single" w:sz="4" w:space="0" w:color="000000"/>
              <w:right w:val="single" w:sz="4" w:space="0" w:color="000000"/>
            </w:tcBorders>
          </w:tcPr>
          <w:p>
            <w:pPr>
              <w:pStyle w:val="ConsPlusNormal"/>
              <w:snapToGrid w:val="false"/>
              <w:spacing w:before="0" w:after="200"/>
              <w:jc w:val="center"/>
              <w:rPr>
                <w:highlight w:val="none"/>
                <w:shd w:fill="auto" w:val="clear"/>
              </w:rPr>
            </w:pPr>
            <w:r>
              <w:rPr>
                <w:rFonts w:cs="Times New Roman"/>
                <w:sz w:val="22"/>
                <w:szCs w:val="22"/>
                <w:shd w:fill="auto"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highlight w:val="none"/>
                <w:shd w:fill="auto" w:val="clear"/>
              </w:rPr>
            </w:pPr>
            <w:r>
              <w:rPr>
                <w:rFonts w:cs="Times New Roman" w:ascii="Times New Roman" w:hAnsi="Times New Roman"/>
                <w:sz w:val="22"/>
                <w:szCs w:val="22"/>
                <w:shd w:fill="auto"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highlight w:val="none"/>
                <w:shd w:fill="auto" w:val="clear"/>
              </w:rPr>
            </w:pPr>
            <w:r>
              <w:rPr>
                <w:rFonts w:cs="Times New Roman" w:ascii="Times New Roman" w:hAnsi="Times New Roman"/>
                <w:sz w:val="22"/>
                <w:szCs w:val="22"/>
                <w:shd w:fill="auto"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highlight w:val="none"/>
                <w:shd w:fill="auto" w:val="clear"/>
              </w:rPr>
            </w:pPr>
            <w:r>
              <w:rPr>
                <w:rFonts w:cs="Times New Roman" w:ascii="Times New Roman" w:hAnsi="Times New Roman"/>
                <w:sz w:val="22"/>
                <w:szCs w:val="22"/>
                <w:shd w:fill="auto" w:val="clear"/>
              </w:rPr>
              <w:t>В 2025 году на территории Туркменского муниципального округа за счет средств местного бюджета проведено о</w:t>
            </w:r>
            <w:r>
              <w:rPr>
                <w:rFonts w:eastAsia="" w:cs="Times New Roman" w:ascii="Times New Roman" w:hAnsi="Times New Roman"/>
                <w:sz w:val="22"/>
                <w:szCs w:val="22"/>
                <w:shd w:fill="auto" w:val="clear"/>
              </w:rPr>
              <w:t>зеленение территории округа за счет средств местного бюджета пу</w:t>
              <w:softHyphen/>
              <w:t>тем высадки деревьев и кустарников в количестве</w:t>
            </w:r>
            <w:r>
              <w:rPr>
                <w:rFonts w:cs="Times New Roman" w:ascii="Times New Roman" w:hAnsi="Times New Roman"/>
                <w:sz w:val="22"/>
                <w:szCs w:val="22"/>
                <w:shd w:fill="auto" w:val="clear"/>
              </w:rPr>
              <w:t xml:space="preserve"> 367 шт.</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eastAsia="" w:cs="Times New Roman" w:ascii="Times New Roman" w:hAnsi="Times New Roman"/>
                <w:sz w:val="22"/>
                <w:szCs w:val="22"/>
                <w:shd w:fill="FFFFFF" w:val="clear"/>
              </w:rPr>
              <w:t>Осуществление муниципального земельного контроля в части касаю</w:t>
              <w:softHyphen/>
              <w:t>щейся сельскохозяйственной деятельности</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Внепрограммное ме</w:t>
              <w:softHyphen/>
              <w:t>роприятие</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Управление имущественных и земельных отношений АТМО СК, отдел сельского хозяй</w:t>
              <w:softHyphen/>
              <w:t>ства и охрана окружающей среды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eastAsia="" w:cs="Times New Roman"/>
                <w:sz w:val="22"/>
                <w:szCs w:val="22"/>
                <w:shd w:fill="FFFFFF" w:val="clear"/>
              </w:rPr>
            </w:pPr>
            <w:r>
              <w:rPr>
                <w:rFonts w:eastAsia=""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widowControl/>
              <w:spacing w:lineRule="auto" w:line="240" w:before="0" w:after="0"/>
              <w:jc w:val="both"/>
              <w:rPr/>
            </w:pPr>
            <w:r>
              <w:rPr>
                <w:rFonts w:eastAsia="" w:cs="Times New Roman" w:ascii="Times New Roman" w:hAnsi="Times New Roman"/>
                <w:i w:val="false"/>
                <w:iCs w:val="false"/>
                <w:sz w:val="22"/>
                <w:szCs w:val="22"/>
                <w:shd w:fill="FFFFFF" w:val="clear"/>
              </w:rPr>
              <w:t>Управлением имущественных и земельных отношений АТМО СК, отделом сельского хозяйства и охрана окружающей среды АТМО СК о</w:t>
            </w:r>
            <w:r>
              <w:rPr>
                <w:rFonts w:cs="Times New Roman" w:ascii="Times New Roman" w:hAnsi="Times New Roman"/>
                <w:i w:val="false"/>
                <w:iCs w:val="false"/>
                <w:sz w:val="22"/>
                <w:szCs w:val="22"/>
                <w:shd w:fill="auto" w:val="clear"/>
              </w:rPr>
              <w:t xml:space="preserve">существляется контроль за целевым использованием земель в соответствии с их принадлежностью к той или иной категории, а также обеспечение соблюдения требований по исполнению обязанностей по приведению земель в состояние, </w:t>
            </w:r>
            <w:r>
              <w:rPr>
                <w:rFonts w:eastAsia="" w:cs="Times New Roman" w:ascii="Times New Roman" w:hAnsi="Times New Roman"/>
                <w:i w:val="false"/>
                <w:iCs w:val="false"/>
                <w:sz w:val="22"/>
                <w:szCs w:val="22"/>
                <w:shd w:fill="auto" w:val="clear"/>
              </w:rPr>
              <w:t>пригодное для использования по целевому назначению.</w:t>
            </w:r>
          </w:p>
        </w:tc>
      </w:tr>
      <w:tr>
        <w:trPr/>
        <w:tc>
          <w:tcPr>
            <w:tcW w:w="7192" w:type="dxa"/>
            <w:gridSpan w:val="5"/>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b/>
                <w:bCs/>
                <w:sz w:val="22"/>
                <w:szCs w:val="22"/>
              </w:rPr>
              <w:t>3.6. Национальная политика и общественная безопасность</w:t>
            </w:r>
          </w:p>
        </w:tc>
        <w:tc>
          <w:tcPr>
            <w:tcW w:w="234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pPr>
            <w:r>
              <w:rPr>
                <w:rFonts w:cs="Times New Roman" w:ascii="Times New Roman" w:hAnsi="Times New Roman"/>
                <w:color w:val="000000"/>
                <w:sz w:val="22"/>
                <w:szCs w:val="22"/>
              </w:rPr>
              <w:t>Уровень преступно</w:t>
              <w:softHyphen/>
              <w:t>сти (количество пре</w:t>
              <w:softHyphen/>
              <w:t>ступлений, зарегист</w:t>
              <w:softHyphen/>
              <w:t>рированных на 100 тыс. населения)</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pPr>
            <w:r>
              <w:rPr>
                <w:rFonts w:cs="Times New Roman" w:ascii="Times New Roman" w:hAnsi="Times New Roman"/>
                <w:sz w:val="22"/>
                <w:szCs w:val="22"/>
              </w:rPr>
              <w:t>единиц</w:t>
            </w:r>
          </w:p>
        </w:tc>
        <w:tc>
          <w:tcPr>
            <w:tcW w:w="1292" w:type="dxa"/>
            <w:tcBorders>
              <w:left w:val="single" w:sz="4" w:space="0" w:color="000000"/>
              <w:bottom w:val="single" w:sz="4" w:space="0" w:color="000000"/>
            </w:tcBorders>
          </w:tcPr>
          <w:p>
            <w:pPr>
              <w:pStyle w:val="Normal"/>
              <w:spacing w:lineRule="auto" w:line="240" w:before="0" w:after="0"/>
              <w:jc w:val="center"/>
              <w:rPr/>
            </w:pPr>
            <w:r>
              <w:rPr>
                <w:rFonts w:cs="Times New Roman" w:ascii="Times New Roman" w:hAnsi="Times New Roman"/>
                <w:sz w:val="22"/>
                <w:szCs w:val="22"/>
              </w:rPr>
              <w:t>x</w:t>
            </w:r>
          </w:p>
        </w:tc>
        <w:tc>
          <w:tcPr>
            <w:tcW w:w="3569" w:type="dxa"/>
            <w:tcBorders>
              <w:left w:val="single" w:sz="4" w:space="0" w:color="000000"/>
              <w:bottom w:val="single" w:sz="4" w:space="0" w:color="000000"/>
              <w:right w:val="single" w:sz="4" w:space="0" w:color="000000"/>
            </w:tcBorders>
          </w:tcPr>
          <w:p>
            <w:pPr>
              <w:pStyle w:val="ConsPlusNormal"/>
              <w:spacing w:lineRule="auto" w:line="240" w:before="0" w:after="0"/>
              <w:ind w:right="0"/>
              <w:jc w:val="both"/>
              <w:rPr/>
            </w:pPr>
            <w:r>
              <w:rPr>
                <w:rFonts w:eastAsia="Times New Roman" w:cs="Times New Roman"/>
                <w:color w:val="000000"/>
                <w:sz w:val="22"/>
                <w:szCs w:val="22"/>
                <w:shd w:fill="auto" w:val="clear"/>
                <w:lang w:val="ru-RU"/>
              </w:rPr>
              <w:t>Уровень преступности (количество пре</w:t>
              <w:softHyphen/>
              <w:t>ступлений, зарегистрированных на 100 тыс. населения) за 2025 - 150.  Уменьшение количества показателя связано стем, что в 2025 г зарегистрировано снижение количество преступлений и правонарушений, влияющих на обще</w:t>
            </w:r>
            <w:r>
              <w:rPr>
                <w:rFonts w:eastAsia="Times New Roman" w:cs="Times New Roman"/>
                <w:color w:val="000000"/>
                <w:sz w:val="22"/>
                <w:szCs w:val="22"/>
                <w:highlight w:val="white"/>
                <w:shd w:fill="FFFF00" w:val="clear"/>
                <w:lang w:val="ru-RU"/>
              </w:rPr>
              <w:t>ственную безопасность и правопорядок, совершаемых на территории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3.6.1.</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sz w:val="22"/>
                <w:szCs w:val="22"/>
              </w:rPr>
              <w:t>Повышение уровня безопасности жизнедеятельности населения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numPr>
                <w:ilvl w:val="0"/>
                <w:numId w:val="0"/>
              </w:numPr>
              <w:spacing w:lineRule="auto" w:line="240" w:before="0" w:after="0"/>
              <w:ind w:hanging="0" w:left="0" w:right="0"/>
              <w:jc w:val="both"/>
              <w:outlineLvl w:val="2"/>
              <w:rPr/>
            </w:pPr>
            <w:r>
              <w:rPr>
                <w:rFonts w:eastAsia="" w:cs="Times New Roman" w:ascii="Times New Roman" w:hAnsi="Times New Roman"/>
                <w:color w:val="000000"/>
                <w:sz w:val="22"/>
                <w:szCs w:val="22"/>
                <w:lang w:eastAsia="ru-RU"/>
              </w:rPr>
              <w:t xml:space="preserve">Проведение </w:t>
            </w:r>
            <w:r>
              <w:rPr>
                <w:rFonts w:eastAsia="" w:cs="Times New Roman" w:ascii="Times New Roman" w:hAnsi="Times New Roman"/>
                <w:color w:val="000000"/>
                <w:sz w:val="22"/>
                <w:szCs w:val="22"/>
                <w:highlight w:val="white"/>
                <w:lang w:eastAsia="ru-RU"/>
              </w:rPr>
              <w:t>обучения</w:t>
            </w:r>
            <w:r>
              <w:rPr>
                <w:rFonts w:eastAsia="" w:cs="Times New Roman" w:ascii="Times New Roman" w:hAnsi="Times New Roman"/>
                <w:color w:val="000000"/>
                <w:sz w:val="22"/>
                <w:szCs w:val="22"/>
                <w:lang w:eastAsia="ru-RU"/>
              </w:rPr>
              <w:t xml:space="preserve"> должностных лиц организаций и предприятий, специалистов органов местного самоуправления в области гражданской обороны и чрезвычайных ситуаций</w:t>
            </w:r>
          </w:p>
        </w:tc>
        <w:tc>
          <w:tcPr>
            <w:tcW w:w="1840" w:type="dxa"/>
            <w:tcBorders>
              <w:left w:val="single" w:sz="4" w:space="0" w:color="000000"/>
              <w:bottom w:val="single" w:sz="4" w:space="0" w:color="000000"/>
              <w:right w:val="single" w:sz="4" w:space="0" w:color="000000"/>
            </w:tcBorders>
          </w:tcPr>
          <w:p>
            <w:pPr>
              <w:pStyle w:val="Heading1"/>
              <w:numPr>
                <w:ilvl w:val="0"/>
                <w:numId w:val="1"/>
              </w:numPr>
              <w:shd w:val="clear" w:fill="FFFFFF"/>
              <w:spacing w:before="0" w:after="0"/>
              <w:ind w:hanging="0" w:left="0" w:right="0"/>
              <w:jc w:val="both"/>
              <w:rPr/>
            </w:pPr>
            <w:r>
              <w:rPr>
                <w:rFonts w:eastAsia="" w:cs="Times New Roman"/>
                <w:b w:val="false"/>
                <w:kern w:val="0"/>
                <w:sz w:val="22"/>
                <w:szCs w:val="22"/>
                <w:lang w:eastAsia="ru-RU"/>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по делам гражданской обороны¸чрезвычайным си</w:t>
              <w:softHyphen/>
              <w:t>туациям и взаимодействию с правоохранительными орга</w:t>
              <w:softHyphen/>
              <w:t>нами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ConsPlusNormal"/>
              <w:spacing w:lineRule="auto" w:line="240" w:before="0" w:after="200"/>
              <w:jc w:val="both"/>
              <w:rPr/>
            </w:pPr>
            <w:r>
              <w:rPr>
                <w:rFonts w:cs="Times New Roman"/>
                <w:sz w:val="22"/>
                <w:szCs w:val="22"/>
              </w:rPr>
              <w:t xml:space="preserve">В ноябре 2025 года  проведено обучение 6 должностных лиц, </w:t>
            </w:r>
            <w:r>
              <w:rPr>
                <w:rFonts w:eastAsia="" w:cs="Times New Roman"/>
                <w:color w:val="000000"/>
                <w:sz w:val="22"/>
                <w:szCs w:val="22"/>
                <w:lang w:eastAsia="ru-RU"/>
              </w:rPr>
              <w:t>специалистов органов местного са</w:t>
              <w:softHyphen/>
              <w:t>моуправления в области граждан</w:t>
              <w:softHyphen/>
              <w:t>ской обороны и чрезвычайных си</w:t>
              <w:softHyphen/>
              <w:t>туаций.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Приобретение и установка системы видеонаблюдения и технических средств охраны (системы охранной сигнализации) для объектов учреждения, подведомственных органам местного самоуправления ТМО СК</w:t>
            </w:r>
          </w:p>
        </w:tc>
        <w:tc>
          <w:tcPr>
            <w:tcW w:w="1840" w:type="dxa"/>
            <w:tcBorders>
              <w:left w:val="single" w:sz="4" w:space="0" w:color="000000"/>
              <w:bottom w:val="single" w:sz="4" w:space="0" w:color="000000"/>
              <w:right w:val="single" w:sz="4" w:space="0" w:color="000000"/>
            </w:tcBorders>
          </w:tcPr>
          <w:p>
            <w:pPr>
              <w:pStyle w:val="Heading1"/>
              <w:numPr>
                <w:ilvl w:val="0"/>
                <w:numId w:val="1"/>
              </w:numPr>
              <w:shd w:val="clear" w:fill="FFFFFF"/>
              <w:spacing w:before="0" w:after="0"/>
              <w:ind w:hanging="0" w:left="0" w:right="0"/>
              <w:jc w:val="both"/>
              <w:rPr/>
            </w:pPr>
            <w:r>
              <w:rPr>
                <w:rFonts w:eastAsia="" w:cs="Times New Roman"/>
                <w:b w:val="false"/>
                <w:kern w:val="0"/>
                <w:sz w:val="22"/>
                <w:szCs w:val="22"/>
                <w:lang w:eastAsia="ru-RU"/>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по делам гражданской обороны, чрезвычайным си</w:t>
              <w:softHyphen/>
              <w:t>туациям и взаимодействию с правоохранительными орга</w:t>
              <w:softHyphen/>
              <w:t>нами АТМО СК</w:t>
            </w:r>
          </w:p>
        </w:tc>
        <w:tc>
          <w:tcPr>
            <w:tcW w:w="2349"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единиц</w:t>
            </w:r>
          </w:p>
        </w:tc>
        <w:tc>
          <w:tcPr>
            <w:tcW w:w="1292" w:type="dxa"/>
            <w:tcBorders>
              <w:left w:val="single" w:sz="4" w:space="0" w:color="000000"/>
              <w:bottom w:val="single" w:sz="4" w:space="0" w:color="000000"/>
            </w:tcBorders>
          </w:tcPr>
          <w:p>
            <w:pPr>
              <w:pStyle w:val="Normal"/>
              <w:spacing w:lineRule="auto" w:line="240" w:before="0" w:after="0"/>
              <w:jc w:val="center"/>
              <w:rPr>
                <w:highlight w:val="none"/>
                <w:shd w:fill="auto" w:val="clear"/>
              </w:rPr>
            </w:pPr>
            <w:r>
              <w:rPr>
                <w:rFonts w:cs="Times New Roman" w:ascii="Times New Roman" w:hAnsi="Times New Roman"/>
                <w:sz w:val="22"/>
                <w:szCs w:val="22"/>
                <w:shd w:fill="auto" w:val="clear"/>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highlight w:val="none"/>
                <w:shd w:fill="auto" w:val="clear"/>
              </w:rPr>
            </w:pPr>
            <w:r>
              <w:rPr>
                <w:rFonts w:cs="Times New Roman" w:ascii="Times New Roman" w:hAnsi="Times New Roman"/>
                <w:color w:val="000000"/>
                <w:sz w:val="22"/>
                <w:szCs w:val="22"/>
                <w:shd w:fill="auto" w:val="clear"/>
              </w:rPr>
              <w:t xml:space="preserve">В 2025 году приобретены и установлены 3 </w:t>
            </w:r>
            <w:r>
              <w:rPr>
                <w:rFonts w:eastAsia="Times New Roman" w:cs="Times New Roman" w:ascii="Times New Roman" w:hAnsi="Times New Roman"/>
                <w:color w:val="000000"/>
                <w:sz w:val="22"/>
                <w:szCs w:val="22"/>
                <w:shd w:fill="auto" w:val="clear"/>
                <w:lang w:val="ru-RU"/>
              </w:rPr>
              <w:t>технических средства охраны (тревожные кнопки) в зданиях территориальных управлений администрации округа (п. Новокучерлинский, а. Куликовы-Копани, с. Малые Ягуры).</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t>Размещение на официальном сайте администрации округа информации о профилактике пожарной безопасности</w:t>
            </w:r>
          </w:p>
        </w:tc>
        <w:tc>
          <w:tcPr>
            <w:tcW w:w="1840" w:type="dxa"/>
            <w:tcBorders>
              <w:left w:val="single" w:sz="4" w:space="0" w:color="000000"/>
              <w:bottom w:val="single" w:sz="4" w:space="0" w:color="000000"/>
              <w:right w:val="single" w:sz="4" w:space="0" w:color="000000"/>
            </w:tcBorders>
          </w:tcPr>
          <w:p>
            <w:pPr>
              <w:pStyle w:val="Heading1"/>
              <w:numPr>
                <w:ilvl w:val="0"/>
                <w:numId w:val="1"/>
              </w:numPr>
              <w:shd w:val="clear" w:fill="FFFFFF"/>
              <w:spacing w:before="0" w:after="0"/>
              <w:ind w:hanging="0" w:left="0" w:right="0"/>
              <w:jc w:val="both"/>
              <w:rPr/>
            </w:pPr>
            <w:r>
              <w:rPr>
                <w:rFonts w:eastAsia="" w:cs="Times New Roman"/>
                <w:b w:val="false"/>
                <w:kern w:val="0"/>
                <w:sz w:val="22"/>
                <w:szCs w:val="22"/>
                <w:lang w:eastAsia="ru-RU"/>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по делам гражданской обороны¸чрезвычайным си</w:t>
              <w:softHyphen/>
              <w:t>туациям и взаимодействию с правоохранительными орга</w:t>
              <w:softHyphen/>
              <w:t>нами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snapToGrid w:val="false"/>
              <w:spacing w:lineRule="auto" w:line="240" w:before="0" w:after="0"/>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На официальном сайте администрации округа в разделе «Информирование населения» публикуются статьи о пожарной безопасности.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г)</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highlight w:val="white"/>
              </w:rPr>
            </w:pPr>
            <w:r>
              <w:rPr>
                <w:rFonts w:cs="Times New Roman" w:ascii="Times New Roman" w:hAnsi="Times New Roman"/>
                <w:color w:val="000000"/>
                <w:sz w:val="22"/>
                <w:szCs w:val="22"/>
                <w:highlight w:val="white"/>
              </w:rPr>
              <w:t>Повышение уровня обеспечения по</w:t>
              <w:softHyphen/>
              <w:t>жарной безопасности в местах про</w:t>
              <w:softHyphen/>
              <w:t>живания малоимущих многодетных семей и семей, находящихся в труд</w:t>
              <w:softHyphen/>
              <w:t>ной жизненной ситуации, посредст</w:t>
              <w:softHyphen/>
              <w:t>вом оснащения указанных мест про</w:t>
              <w:softHyphen/>
              <w:t>живания извещателями раннего об</w:t>
              <w:softHyphen/>
              <w:t>наружения пожара</w:t>
            </w:r>
          </w:p>
        </w:tc>
        <w:tc>
          <w:tcPr>
            <w:tcW w:w="1840" w:type="dxa"/>
            <w:tcBorders>
              <w:left w:val="single" w:sz="4" w:space="0" w:color="000000"/>
              <w:bottom w:val="single" w:sz="4" w:space="0" w:color="000000"/>
              <w:right w:val="single" w:sz="4" w:space="0" w:color="000000"/>
            </w:tcBorders>
          </w:tcPr>
          <w:p>
            <w:pPr>
              <w:pStyle w:val="Heading1"/>
              <w:numPr>
                <w:ilvl w:val="0"/>
                <w:numId w:val="1"/>
              </w:numPr>
              <w:shd w:val="clear" w:fill="FFFFFF"/>
              <w:spacing w:before="0" w:after="0"/>
              <w:ind w:hanging="0" w:left="0" w:right="0"/>
              <w:jc w:val="both"/>
              <w:rPr/>
            </w:pPr>
            <w:r>
              <w:rPr>
                <w:rFonts w:eastAsia="" w:cs="Times New Roman"/>
                <w:b w:val="false"/>
                <w:kern w:val="0"/>
                <w:sz w:val="22"/>
                <w:szCs w:val="22"/>
                <w:lang w:eastAsia="ru-RU"/>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по делам гражданской обороны¸чрезвычайным си</w:t>
              <w:softHyphen/>
              <w:t>туациям и взаимодействию с правоохранительными орга</w:t>
              <w:softHyphen/>
              <w:t>нами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highlight w:val="white"/>
              </w:rPr>
            </w:pPr>
            <w:r>
              <w:rPr>
                <w:rFonts w:cs="Times New Roman" w:ascii="Times New Roman" w:hAnsi="Times New Roman"/>
                <w:color w:val="000000"/>
                <w:sz w:val="22"/>
                <w:szCs w:val="22"/>
                <w:highlight w:val="white"/>
              </w:rPr>
              <w:t>Приобретение изве</w:t>
              <w:softHyphen/>
              <w:t>щателей раннего об</w:t>
              <w:softHyphen/>
              <w:t>наружения пожара</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единиц</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eastAsia="" w:cs="Times New Roman"/>
                <w:sz w:val="22"/>
                <w:szCs w:val="22"/>
                <w:shd w:fill="FFFFFF" w:val="clear"/>
                <w:lang w:eastAsia="ru-RU"/>
              </w:rPr>
            </w:pPr>
            <w:r>
              <w:rPr>
                <w:rFonts w:eastAsia="" w:cs="Times New Roman" w:ascii="Times New Roman" w:hAnsi="Times New Roman"/>
                <w:sz w:val="22"/>
                <w:szCs w:val="22"/>
                <w:shd w:fill="FFFFFF" w:val="clear"/>
                <w:lang w:eastAsia="ru-RU"/>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color w:val="000000"/>
                <w:sz w:val="22"/>
                <w:szCs w:val="22"/>
              </w:rPr>
              <w:t xml:space="preserve">В связи с увеличением финансирования, приобретено 28 пожарных извещателей для установки </w:t>
            </w:r>
            <w:r>
              <w:rPr>
                <w:rFonts w:cs="Times New Roman" w:ascii="Times New Roman" w:hAnsi="Times New Roman"/>
                <w:color w:val="000000"/>
                <w:sz w:val="22"/>
                <w:szCs w:val="22"/>
                <w:highlight w:val="white"/>
              </w:rPr>
              <w:t>в местах проживания малоимущих многодетных семей и семей, находящихся в трудной жизненной ситуации.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3.6.2.</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Совершенствование системы мер по комплексной профилактике незаконного потребления наркотических средств и психотропных веществ, наркомании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Проведение комплекса профилактических мероприятий антинаркотической направленности в муниципальных общеобразовательных организациях</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социального развития АТМО СК, управление образования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pacing w:val="-4"/>
                <w:sz w:val="22"/>
                <w:szCs w:val="22"/>
                <w:shd w:fill="auto" w:val="clear"/>
              </w:rPr>
            </w:pPr>
            <w:r>
              <w:rPr>
                <w:rFonts w:cs="Times New Roman" w:ascii="Times New Roman" w:hAnsi="Times New Roman"/>
                <w:color w:val="000000"/>
                <w:spacing w:val="-4"/>
                <w:sz w:val="22"/>
                <w:szCs w:val="22"/>
                <w:shd w:fill="auto" w:val="clear"/>
              </w:rPr>
              <w:t>Проведена работа информационно-пропагандистской направленности, за   отчетный период опубликовано больше 50 материалов антинаркотической направленности.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Проведение интерактивных мероприятий по профилактике наркомании, алкоголизма, табакокурения и других зависимостей.</w:t>
            </w:r>
          </w:p>
        </w:tc>
        <w:tc>
          <w:tcPr>
            <w:tcW w:w="1840"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социального развития  АТМО СК, управление обра</w:t>
              <w:softHyphen/>
              <w:t>зования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ConsPlusNormal"/>
              <w:spacing w:lineRule="auto" w:line="240" w:before="0" w:after="0"/>
              <w:jc w:val="both"/>
              <w:rPr/>
            </w:pPr>
            <w:r>
              <w:rPr>
                <w:rFonts w:cs="Times New Roman"/>
                <w:sz w:val="22"/>
                <w:szCs w:val="22"/>
                <w:shd w:fill="auto" w:val="clear"/>
              </w:rPr>
              <w:t>В 2025 году проведено 20 -</w:t>
            </w:r>
            <w:r>
              <w:rPr>
                <w:rFonts w:cs="Times New Roman"/>
                <w:color w:val="000000"/>
                <w:spacing w:val="2"/>
                <w:sz w:val="22"/>
                <w:szCs w:val="22"/>
                <w:shd w:fill="auto" w:val="clear"/>
              </w:rPr>
              <w:t xml:space="preserve"> информационно-пропагандистских мероприятий 10 - </w:t>
            </w:r>
            <w:r>
              <w:rPr>
                <w:rFonts w:cs="Times New Roman"/>
                <w:sz w:val="22"/>
                <w:szCs w:val="22"/>
                <w:shd w:fill="auto" w:val="clear"/>
              </w:rPr>
              <w:t xml:space="preserve">культурно-массовых мероприятий </w:t>
            </w:r>
            <w:r>
              <w:rPr>
                <w:rFonts w:cs="Times New Roman"/>
                <w:color w:val="000000"/>
                <w:spacing w:val="2"/>
                <w:sz w:val="22"/>
                <w:szCs w:val="22"/>
                <w:shd w:fill="auto" w:val="clear"/>
              </w:rPr>
              <w:t xml:space="preserve">направленных на профилактику незаконного потребления наркотиков и пропаганду </w:t>
            </w:r>
            <w:r>
              <w:rPr>
                <w:rFonts w:cs="Times New Roman"/>
                <w:color w:val="000000"/>
                <w:spacing w:val="-4"/>
                <w:sz w:val="22"/>
                <w:szCs w:val="22"/>
                <w:shd w:fill="auto" w:val="clear"/>
              </w:rPr>
              <w:t>здорового образа жизни.</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3.6.3.</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Осуществление мер, направленных на профилактику терроризма  и экстремизма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Приобретение печатной продукции для проведения информационно-пропагандистских мероприятий</w:t>
            </w:r>
          </w:p>
        </w:tc>
        <w:tc>
          <w:tcPr>
            <w:tcW w:w="1840" w:type="dxa"/>
            <w:tcBorders>
              <w:left w:val="single" w:sz="4" w:space="0" w:color="000000"/>
              <w:bottom w:val="single" w:sz="4" w:space="0" w:color="000000"/>
              <w:right w:val="single" w:sz="4" w:space="0" w:color="000000"/>
            </w:tcBorders>
          </w:tcPr>
          <w:p>
            <w:pPr>
              <w:pStyle w:val="Heading1"/>
              <w:numPr>
                <w:ilvl w:val="0"/>
                <w:numId w:val="1"/>
              </w:numPr>
              <w:shd w:val="clear" w:fill="FFFFFF"/>
              <w:spacing w:before="0" w:after="0"/>
              <w:ind w:hanging="0" w:left="0" w:right="0"/>
              <w:jc w:val="both"/>
              <w:rPr/>
            </w:pPr>
            <w:r>
              <w:rPr>
                <w:rFonts w:eastAsia="" w:cs="Times New Roman"/>
                <w:b w:val="false"/>
                <w:kern w:val="0"/>
                <w:sz w:val="22"/>
                <w:szCs w:val="22"/>
                <w:lang w:eastAsia="ru-RU"/>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по делам гражданской обороны¸чрезвычайным си</w:t>
              <w:softHyphen/>
              <w:t>туациям и взаимодействию с правоохранительными орга</w:t>
              <w:softHyphen/>
              <w:t>нами АТМО СК</w:t>
            </w:r>
          </w:p>
        </w:tc>
        <w:tc>
          <w:tcPr>
            <w:tcW w:w="234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Приобретение печат</w:t>
              <w:softHyphen/>
              <w:t>ной продукции</w:t>
            </w:r>
          </w:p>
        </w:tc>
        <w:tc>
          <w:tcPr>
            <w:tcW w:w="951"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тыс.</w:t>
            </w:r>
          </w:p>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ру</w:t>
              <w:softHyphen/>
              <w:t>блей</w:t>
            </w:r>
          </w:p>
        </w:tc>
        <w:tc>
          <w:tcPr>
            <w:tcW w:w="1292" w:type="dxa"/>
            <w:tcBorders>
              <w:left w:val="single" w:sz="4" w:space="0" w:color="000000"/>
              <w:bottom w:val="single" w:sz="4" w:space="0" w:color="000000"/>
            </w:tcBorders>
          </w:tcPr>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x</w:t>
            </w:r>
          </w:p>
        </w:tc>
        <w:tc>
          <w:tcPr>
            <w:tcW w:w="3569"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Приобретена полиграфическая продукция на сумму 100,00 тыс. рублей для проведения информационно-пропагандистских мероприятий.</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2"/>
                <w:szCs w:val="22"/>
              </w:rPr>
            </w:pPr>
            <w:r>
              <w:rPr>
                <w:rFonts w:cs="Times New Roman" w:ascii="Times New Roman" w:hAnsi="Times New Roman"/>
                <w:color w:val="000000"/>
                <w:sz w:val="22"/>
                <w:szCs w:val="22"/>
              </w:rPr>
              <w:t>Размещение информационных материалов по противодействию терроризму на официальном сайте адми</w:t>
              <w:softHyphen/>
              <w:t>нистрации Туркменского муници</w:t>
              <w:softHyphen/>
              <w:t>пального округа</w:t>
            </w:r>
          </w:p>
        </w:tc>
        <w:tc>
          <w:tcPr>
            <w:tcW w:w="1840" w:type="dxa"/>
            <w:tcBorders>
              <w:left w:val="single" w:sz="4" w:space="0" w:color="000000"/>
              <w:bottom w:val="single" w:sz="4" w:space="0" w:color="000000"/>
              <w:right w:val="single" w:sz="4" w:space="0" w:color="000000"/>
            </w:tcBorders>
          </w:tcPr>
          <w:p>
            <w:pPr>
              <w:pStyle w:val="Heading1"/>
              <w:numPr>
                <w:ilvl w:val="0"/>
                <w:numId w:val="1"/>
              </w:numPr>
              <w:shd w:val="clear" w:fill="FFFFFF"/>
              <w:spacing w:before="0" w:after="0"/>
              <w:ind w:hanging="0" w:left="0" w:right="0"/>
              <w:jc w:val="both"/>
              <w:rPr/>
            </w:pPr>
            <w:r>
              <w:rPr>
                <w:rFonts w:eastAsia="" w:cs="Times New Roman"/>
                <w:b w:val="false"/>
                <w:kern w:val="0"/>
                <w:sz w:val="22"/>
                <w:szCs w:val="22"/>
                <w:lang w:eastAsia="ru-RU"/>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по делам гражданской обороны¸чрезвычайным си</w:t>
              <w:softHyphen/>
              <w:t>туациям и взаимодействию с правоохранительными орга</w:t>
              <w:softHyphen/>
              <w:t>нами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Normal"/>
              <w:snapToGrid w:val="false"/>
              <w:spacing w:lineRule="auto" w:line="240" w:before="0" w:after="0"/>
              <w:jc w:val="both"/>
              <w:rPr/>
            </w:pPr>
            <w:r>
              <w:rPr>
                <w:rFonts w:cs="Times New Roman" w:ascii="Times New Roman" w:hAnsi="Times New Roman"/>
                <w:sz w:val="22"/>
                <w:szCs w:val="22"/>
              </w:rPr>
              <w:t xml:space="preserve">На официальном сайте округа в разделе  «Антитеррористическая комиссия» публикуются материалы  </w:t>
            </w:r>
            <w:r>
              <w:rPr>
                <w:rFonts w:cs="Times New Roman" w:ascii="Times New Roman" w:hAnsi="Times New Roman"/>
                <w:color w:val="000000"/>
                <w:sz w:val="22"/>
                <w:szCs w:val="22"/>
              </w:rPr>
              <w:t>по противодействию терроризму.</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Проведение профилактических мероприятий,  приуроченных ко Дню солидарности в борьбе с терроризмом</w:t>
            </w:r>
          </w:p>
        </w:tc>
        <w:tc>
          <w:tcPr>
            <w:tcW w:w="1840" w:type="dxa"/>
            <w:tcBorders>
              <w:left w:val="single" w:sz="4" w:space="0" w:color="000000"/>
              <w:bottom w:val="single" w:sz="4" w:space="0" w:color="000000"/>
              <w:right w:val="single" w:sz="4" w:space="0" w:color="000000"/>
            </w:tcBorders>
          </w:tcPr>
          <w:p>
            <w:pPr>
              <w:pStyle w:val="Heading1"/>
              <w:numPr>
                <w:ilvl w:val="0"/>
                <w:numId w:val="1"/>
              </w:numPr>
              <w:shd w:val="clear" w:fill="FFFFFF"/>
              <w:spacing w:before="0" w:after="0"/>
              <w:ind w:hanging="0" w:left="0" w:right="0"/>
              <w:jc w:val="both"/>
              <w:rPr/>
            </w:pPr>
            <w:r>
              <w:rPr>
                <w:rFonts w:eastAsia="" w:cs="Times New Roman"/>
                <w:b w:val="false"/>
                <w:kern w:val="0"/>
                <w:sz w:val="22"/>
                <w:szCs w:val="22"/>
                <w:lang w:eastAsia="ru-RU"/>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по делам гражданской обороны¸чрезвычайным си</w:t>
              <w:softHyphen/>
              <w:t>туациям и взаимодействию с правоохранительными орга</w:t>
              <w:softHyphen/>
              <w:t>нами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BodyText"/>
              <w:snapToGrid w:val="false"/>
              <w:spacing w:lineRule="auto" w:line="240" w:before="0" w:after="0"/>
              <w:jc w:val="both"/>
              <w:rPr/>
            </w:pPr>
            <w:r>
              <w:rPr>
                <w:rFonts w:cs="Times New Roman" w:ascii="Times New Roman" w:hAnsi="Times New Roman"/>
                <w:color w:val="000000"/>
                <w:sz w:val="22"/>
                <w:szCs w:val="22"/>
              </w:rPr>
              <w:t xml:space="preserve">В </w:t>
            </w:r>
            <w:r>
              <w:rPr>
                <w:rFonts w:cs="Times New Roman" w:ascii="Times New Roman" w:hAnsi="Times New Roman"/>
                <w:sz w:val="22"/>
                <w:szCs w:val="22"/>
              </w:rPr>
              <w:t>2025 году учреждениями культуры и образования  округа организован цикл тематических мероприятий, посвященный  Дню солидарности в борьбе с терроризмом.</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3.6.4.</w:t>
            </w:r>
          </w:p>
        </w:tc>
        <w:tc>
          <w:tcPr>
            <w:tcW w:w="14627" w:type="dxa"/>
            <w:gridSpan w:val="8"/>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Создание условий для развития казачьего общества, внесенного  в государственный реестр казачьих обществ в Российской Федерации  и принявшего на себя обязательства по несению службы, в том числе по охране общественного порядка на территории округа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а)</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Организация и проведение в округе конкурсов «Лучшая народная дружина» и «Лучший народный дру</w:t>
              <w:softHyphen/>
              <w:t>жинник»</w:t>
            </w:r>
          </w:p>
        </w:tc>
        <w:tc>
          <w:tcPr>
            <w:tcW w:w="1840" w:type="dxa"/>
            <w:tcBorders>
              <w:left w:val="single" w:sz="4" w:space="0" w:color="000000"/>
              <w:bottom w:val="single" w:sz="4" w:space="0" w:color="000000"/>
              <w:right w:val="single" w:sz="4" w:space="0" w:color="000000"/>
            </w:tcBorders>
          </w:tcPr>
          <w:p>
            <w:pPr>
              <w:pStyle w:val="Heading1"/>
              <w:numPr>
                <w:ilvl w:val="0"/>
                <w:numId w:val="1"/>
              </w:numPr>
              <w:shd w:val="clear" w:fill="FFFFFF"/>
              <w:spacing w:before="0" w:after="0"/>
              <w:ind w:hanging="0" w:left="0" w:right="0"/>
              <w:jc w:val="both"/>
              <w:rPr/>
            </w:pPr>
            <w:r>
              <w:rPr>
                <w:rFonts w:eastAsia="" w:cs="Times New Roman"/>
                <w:b w:val="false"/>
                <w:kern w:val="0"/>
                <w:sz w:val="22"/>
                <w:szCs w:val="22"/>
                <w:lang w:eastAsia="ru-RU"/>
              </w:rPr>
              <w:t>Муниципальная про</w:t>
              <w:softHyphen/>
              <w:t>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по делам гражданской обороны¸чрезвычайным си</w:t>
              <w:softHyphen/>
              <w:t>туациям и взаимодействию с правоохранительными орга</w:t>
              <w:softHyphen/>
              <w:t>нами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ConsPlusNormal"/>
              <w:spacing w:lineRule="auto" w:line="240" w:before="0" w:after="0"/>
              <w:jc w:val="both"/>
              <w:rPr/>
            </w:pPr>
            <w:r>
              <w:rPr>
                <w:rFonts w:cs="Times New Roman"/>
                <w:sz w:val="22"/>
                <w:szCs w:val="22"/>
              </w:rPr>
              <w:t>В декабре 2025 года проведен конкурс «Лучший народный дружинник» и «Лучшая народная дружина».</w:t>
            </w:r>
          </w:p>
        </w:tc>
      </w:tr>
      <w:tr>
        <w:trPr/>
        <w:tc>
          <w:tcPr>
            <w:tcW w:w="726"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б)</w:t>
            </w:r>
          </w:p>
        </w:tc>
        <w:tc>
          <w:tcPr>
            <w:tcW w:w="2863" w:type="dxa"/>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2"/>
                <w:szCs w:val="22"/>
              </w:rPr>
            </w:pPr>
            <w:r>
              <w:rPr>
                <w:rFonts w:cs="Times New Roman" w:ascii="Times New Roman" w:hAnsi="Times New Roman"/>
                <w:sz w:val="22"/>
                <w:szCs w:val="22"/>
              </w:rPr>
              <w:t>Проведение информационно-пропагандистских мероприятий, направленных на профилактику правона</w:t>
              <w:softHyphen/>
              <w:t>рушений</w:t>
            </w:r>
          </w:p>
        </w:tc>
        <w:tc>
          <w:tcPr>
            <w:tcW w:w="1840" w:type="dxa"/>
            <w:tcBorders>
              <w:left w:val="single" w:sz="4" w:space="0" w:color="000000"/>
              <w:bottom w:val="single" w:sz="4" w:space="0" w:color="000000"/>
              <w:right w:val="single" w:sz="4" w:space="0" w:color="000000"/>
            </w:tcBorders>
          </w:tcPr>
          <w:p>
            <w:pPr>
              <w:pStyle w:val="Heading1"/>
              <w:numPr>
                <w:ilvl w:val="0"/>
                <w:numId w:val="1"/>
              </w:numPr>
              <w:shd w:val="clear" w:fill="FFFFFF"/>
              <w:spacing w:before="0" w:after="0"/>
              <w:ind w:hanging="0" w:left="0" w:right="0"/>
              <w:jc w:val="both"/>
              <w:rPr/>
            </w:pPr>
            <w:r>
              <w:rPr>
                <w:rFonts w:eastAsia="" w:cs="Times New Roman"/>
                <w:b w:val="false"/>
                <w:kern w:val="0"/>
                <w:sz w:val="22"/>
                <w:szCs w:val="22"/>
                <w:lang w:eastAsia="ru-RU"/>
              </w:rPr>
              <w:t>Муниципальная программа «Профилактика правонарушений и защита населения от чрезвычайных ситуа</w:t>
              <w:softHyphen/>
              <w:t>ций природного и техногенного характера»</w:t>
            </w:r>
          </w:p>
        </w:tc>
        <w:tc>
          <w:tcPr>
            <w:tcW w:w="1763" w:type="dxa"/>
            <w:gridSpan w:val="2"/>
            <w:tcBorders>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 w:cs="Times New Roman"/>
                <w:sz w:val="22"/>
                <w:szCs w:val="22"/>
                <w:lang w:eastAsia="ru-RU"/>
              </w:rPr>
            </w:pPr>
            <w:r>
              <w:rPr>
                <w:rFonts w:eastAsia="" w:cs="Times New Roman" w:ascii="Times New Roman" w:hAnsi="Times New Roman"/>
                <w:sz w:val="22"/>
                <w:szCs w:val="22"/>
                <w:lang w:eastAsia="ru-RU"/>
              </w:rPr>
              <w:t>Отдел по делам гражданской обороны¸чрезвычайным си</w:t>
              <w:softHyphen/>
              <w:t>туациям и взаимодействию с правоохранительными орга</w:t>
              <w:softHyphen/>
              <w:t>нами АТМО СК, территори</w:t>
              <w:softHyphen/>
              <w:t>альные управления АТМО СК</w:t>
            </w:r>
          </w:p>
        </w:tc>
        <w:tc>
          <w:tcPr>
            <w:tcW w:w="2349"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951" w:type="dxa"/>
            <w:tcBorders>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1292" w:type="dxa"/>
            <w:tcBorders>
              <w:left w:val="single" w:sz="4" w:space="0" w:color="000000"/>
              <w:bottom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х</w:t>
            </w:r>
          </w:p>
        </w:tc>
        <w:tc>
          <w:tcPr>
            <w:tcW w:w="3569" w:type="dxa"/>
            <w:tcBorders>
              <w:left w:val="single" w:sz="4" w:space="0" w:color="000000"/>
              <w:bottom w:val="single" w:sz="4" w:space="0" w:color="000000"/>
              <w:right w:val="single" w:sz="4" w:space="0" w:color="000000"/>
            </w:tcBorders>
          </w:tcPr>
          <w:p>
            <w:pPr>
              <w:pStyle w:val="ConsPlusNormal"/>
              <w:spacing w:lineRule="auto" w:line="240" w:before="0" w:after="0"/>
              <w:jc w:val="both"/>
              <w:rPr/>
            </w:pPr>
            <w:r>
              <w:rPr>
                <w:rFonts w:cs="Times New Roman"/>
                <w:sz w:val="22"/>
                <w:szCs w:val="22"/>
              </w:rPr>
              <w:t>В течении года проведены мероприятия направленные на профилактику правонарушений. Листовки о профилактики правонарушений были розданы среди населения округа.</w:t>
            </w:r>
          </w:p>
        </w:tc>
      </w:tr>
    </w:tbl>
    <w:p>
      <w:pPr>
        <w:pStyle w:val="msonormalmailrucssattributepostfix"/>
        <w:shd w:val="clear" w:fill="FFFFFF"/>
        <w:spacing w:lineRule="atLeast" w:line="200" w:before="0" w:after="0"/>
        <w:ind w:firstLine="709" w:right="0"/>
        <w:jc w:val="both"/>
        <w:rPr/>
      </w:pPr>
      <w:r>
        <w:rPr/>
      </w:r>
    </w:p>
    <w:sectPr>
      <w:type w:val="nextPage"/>
      <w:pgSz w:orient="landscape" w:w="16838" w:h="11906"/>
      <w:pgMar w:left="1134" w:right="851" w:gutter="0" w:header="0" w:top="1701"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swiss"/>
    <w:pitch w:val="variable"/>
  </w:font>
  <w:font w:name="Times New Roman">
    <w:charset w:val="01"/>
    <w:family w:val="roman"/>
    <w:pitch w:val="variable"/>
  </w:font>
  <w:font w:name="Liberation Sans">
    <w:altName w:val="Arial"/>
    <w:charset w:val="01"/>
    <w:family w:val="swiss"/>
    <w:pitch w:val="variable"/>
  </w:font>
  <w:font w:name="Courier New">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Arial" w:hAnsi="Arial" w:eastAsia="Arial" w:cs="Arial"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BodyText"/>
    <w:qFormat/>
    <w:pPr>
      <w:numPr>
        <w:ilvl w:val="0"/>
        <w:numId w:val="1"/>
      </w:numPr>
      <w:spacing w:lineRule="auto" w:line="240" w:before="280" w:after="280"/>
      <w:outlineLvl w:val="0"/>
    </w:pPr>
    <w:rPr>
      <w:rFonts w:ascii="Times New Roman" w:hAnsi="Times New Roman" w:cs="Times New Roman"/>
      <w:b/>
      <w:bCs/>
      <w:kern w:val="2"/>
      <w:sz w:val="48"/>
      <w:szCs w:val="48"/>
    </w:rPr>
  </w:style>
  <w:style w:type="paragraph" w:styleId="Style13">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4">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1">
    <w:name w:val="Указатель (user)"/>
    <w:basedOn w:val="Normal"/>
    <w:qFormat/>
    <w:pPr>
      <w:suppressLineNumbers/>
    </w:pPr>
    <w:rPr>
      <w:rFonts w:cs="Noto Sans"/>
    </w:rPr>
  </w:style>
  <w:style w:type="paragraph" w:styleId="NoSpacing">
    <w:name w:val="No Spacing"/>
    <w:basedOn w:val="Normal"/>
    <w:uiPriority w:val="1"/>
    <w:qFormat/>
    <w:pPr>
      <w:spacing w:lineRule="auto" w:line="240" w:before="0" w:after="0"/>
    </w:pPr>
    <w:rPr/>
  </w:style>
  <w:style w:type="paragraph" w:styleId="ListParagraph">
    <w:name w:val="List Paragraph"/>
    <w:basedOn w:val="Normal"/>
    <w:uiPriority w:val="34"/>
    <w:qFormat/>
    <w:pPr>
      <w:spacing w:before="0" w:after="200"/>
      <w:ind w:left="720"/>
      <w:contextualSpacing/>
    </w:pPr>
    <w:rPr/>
  </w:style>
  <w:style w:type="paragraph" w:styleId="msonormalmailrucssattributepostfix">
    <w:name w:val="msonormal_mailru_css_attribute_postfix"/>
    <w:basedOn w:val="Normal"/>
    <w:qFormat/>
    <w:pPr>
      <w:spacing w:lineRule="auto" w:line="240" w:before="280" w:after="280"/>
    </w:pPr>
    <w:rPr>
      <w:rFonts w:ascii="Times New Roman" w:hAnsi="Times New Roman" w:cs="Times New Roman"/>
      <w:sz w:val="24"/>
      <w:szCs w:val="24"/>
    </w:rPr>
  </w:style>
  <w:style w:type="paragraph" w:styleId="ConsPlusNormal">
    <w:name w:val="ConsPlusNormal"/>
    <w:qFormat/>
    <w:pPr>
      <w:widowControl/>
      <w:suppressAutoHyphens w:val="true"/>
      <w:bidi w:val="0"/>
      <w:spacing w:lineRule="auto" w:line="276" w:before="0" w:after="200"/>
      <w:jc w:val="left"/>
    </w:pPr>
    <w:rPr>
      <w:rFonts w:ascii="Times New Roman" w:hAnsi="Times New Roman" w:eastAsia="Times New Roman" w:cs="Times New Roman"/>
      <w:color w:val="auto"/>
      <w:kern w:val="0"/>
      <w:sz w:val="24"/>
      <w:szCs w:val="24"/>
      <w:lang w:val="ru-RU" w:eastAsia="zh-CN" w:bidi="ar-SA"/>
    </w:rPr>
  </w:style>
  <w:style w:type="paragraph" w:styleId="Style15">
    <w:name w:val="_Обычный"/>
    <w:qFormat/>
    <w:pPr>
      <w:widowControl/>
      <w:suppressAutoHyphens w:val="true"/>
      <w:bidi w:val="0"/>
      <w:spacing w:lineRule="auto" w:line="360" w:before="0" w:after="200"/>
      <w:ind w:firstLine="709" w:left="0" w:right="0"/>
      <w:jc w:val="both"/>
    </w:pPr>
    <w:rPr>
      <w:rFonts w:ascii="Times New Roman" w:hAnsi="Times New Roman" w:eastAsia="Calibri" w:cs="Times New Roman"/>
      <w:color w:val="auto"/>
      <w:kern w:val="0"/>
      <w:sz w:val="24"/>
      <w:szCs w:val="24"/>
      <w:lang w:val="ru-RU" w:eastAsia="zh-CN" w:bidi="ar-SA"/>
    </w:rPr>
  </w:style>
  <w:style w:type="paragraph" w:styleId="Default">
    <w:name w:val="Default"/>
    <w:qFormat/>
    <w:pPr>
      <w:widowControl/>
      <w:suppressAutoHyphens w:val="true"/>
      <w:bidi w:val="0"/>
      <w:spacing w:lineRule="auto" w:line="276" w:before="0" w:after="200"/>
      <w:jc w:val="left"/>
    </w:pPr>
    <w:rPr>
      <w:rFonts w:ascii="Times New Roman" w:hAnsi="Times New Roman" w:eastAsia="Times New Roman" w:cs="Times New Roman"/>
      <w:color w:val="000000"/>
      <w:kern w:val="0"/>
      <w:sz w:val="24"/>
      <w:szCs w:val="24"/>
      <w:lang w:val="ru-RU" w:eastAsia="zh-CN" w:bidi="ar-SA"/>
    </w:rPr>
  </w:style>
  <w:style w:type="paragraph" w:styleId="21">
    <w:name w:val="Основной текст с отступом 21"/>
    <w:basedOn w:val="Normal"/>
    <w:qFormat/>
    <w:pPr>
      <w:ind w:firstLine="900" w:left="0" w:right="0"/>
    </w:pPr>
    <w:rPr>
      <w:rFonts w:eastAsia="Times New Roman"/>
      <w:sz w:val="24"/>
      <w:szCs w:val="24"/>
      <w:lang w:eastAsia="ar-SA"/>
    </w:rPr>
  </w:style>
  <w:style w:type="paragraph" w:styleId="BodyTextIndented">
    <w:name w:val="Body Text;Indented"/>
    <w:basedOn w:val="Normal"/>
    <w:qFormat/>
    <w:pPr>
      <w:spacing w:lineRule="auto" w:line="240" w:before="0" w:after="0"/>
      <w:ind w:firstLine="708"/>
    </w:pPr>
    <w:rPr>
      <w:rFonts w:ascii="Times New Roman" w:hAnsi="Times New Roman" w:eastAsia="Times New Roman" w:cs="Times New Roman"/>
      <w:sz w:val="28"/>
      <w:szCs w:val="24"/>
    </w:rPr>
  </w:style>
  <w:style w:type="paragraph" w:styleId="Style16">
    <w:name w:val="_Таблица текст компактный"/>
    <w:basedOn w:val="Normal"/>
    <w:qFormat/>
    <w:pPr>
      <w:spacing w:lineRule="auto" w:line="240" w:before="0" w:after="0"/>
    </w:pPr>
    <w:rPr>
      <w:rFonts w:eastAsia="Calibri"/>
      <w:sz w:val="24"/>
      <w:szCs w:val="24"/>
      <w:lang w:val="ru-RU"/>
    </w:rPr>
  </w:style>
  <w:style w:type="paragraph" w:styleId="BodyText21">
    <w:name w:val="Body Text 21"/>
    <w:basedOn w:val="Normal"/>
    <w:qFormat/>
    <w:pPr>
      <w:widowControl w:val="false"/>
      <w:jc w:val="center"/>
    </w:pPr>
    <w:rPr>
      <w:sz w:val="28"/>
    </w:rPr>
  </w:style>
  <w:style w:type="paragraph" w:styleId="user2">
    <w:name w:val="Содержимое таблицы (user)"/>
    <w:basedOn w:val="Normal"/>
    <w:qFormat/>
    <w:pPr>
      <w:widowControl w:val="false"/>
      <w:suppressLineNumbers/>
    </w:pPr>
    <w:rPr/>
  </w:style>
  <w:style w:type="paragraph" w:styleId="formattextmailrucssattributepostfix">
    <w:name w:val="formattext_mailru_css_attribute_postfix"/>
    <w:basedOn w:val="Normal"/>
    <w:qFormat/>
    <w:pPr>
      <w:spacing w:before="280" w:after="280"/>
    </w:pPr>
    <w:rPr>
      <w:rFonts w:eastAsia="Times New Roman"/>
      <w:sz w:val="24"/>
      <w:szCs w:val="24"/>
    </w:rPr>
  </w:style>
  <w:style w:type="paragraph" w:styleId="amailrucssattributepostfix">
    <w:name w:val="a_mailru_css_attribute_postfix"/>
    <w:basedOn w:val="Normal"/>
    <w:qFormat/>
    <w:pPr>
      <w:spacing w:before="280" w:after="280"/>
    </w:pPr>
    <w:rPr>
      <w:rFonts w:eastAsia="Times New Roman"/>
      <w:sz w:val="24"/>
      <w:szCs w:val="24"/>
    </w:rPr>
  </w:style>
  <w:style w:type="paragraph" w:styleId="Web1Web11Web112111">
    <w:name w:val="Обычный (веб);Обычный (Web)1;Обычный (Web)11;Знак;Обычный (Web);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Normal"/>
    <w:qFormat/>
    <w:pPr>
      <w:spacing w:before="280" w:after="280"/>
    </w:pPr>
    <w:rPr>
      <w:rFonts w:eastAsia="Times New Roman"/>
      <w:sz w:val="24"/>
      <w:szCs w:val="24"/>
      <w:lang w:val="en-US"/>
    </w:rPr>
  </w:style>
  <w:style w:type="paragraph" w:styleId="BlockText">
    <w:name w:val="Block Text"/>
    <w:basedOn w:val="Normal"/>
    <w:qFormat/>
    <w:pPr>
      <w:tabs>
        <w:tab w:val="clear" w:pos="708"/>
        <w:tab w:val="left" w:pos="4320" w:leader="none"/>
      </w:tabs>
      <w:spacing w:lineRule="auto" w:line="240" w:before="0" w:after="0"/>
      <w:ind w:hanging="0" w:left="900" w:right="5035"/>
    </w:pPr>
    <w:rPr>
      <w:rFonts w:ascii="Times New Roman" w:hAnsi="Times New Roman" w:eastAsia="Times New Roman" w:cs="Times New Roman"/>
      <w:sz w:val="24"/>
      <w:szCs w:val="24"/>
      <w:lang w:eastAsia="ru-RU"/>
    </w:rPr>
  </w:style>
  <w:style w:type="paragraph" w:styleId="ConsPlusNonformat">
    <w:name w:val="ConsPlusNonformat"/>
    <w:basedOn w:val="Normal"/>
    <w:qFormat/>
    <w:pPr>
      <w:suppressAutoHyphens w:val="true"/>
      <w:spacing w:lineRule="auto" w:line="240" w:before="0" w:after="0"/>
    </w:pPr>
    <w:rPr>
      <w:rFonts w:ascii="Courier New" w:hAnsi="Courier New" w:eastAsia="Times New Roman" w:cs="Times New Roman"/>
      <w:sz w:val="20"/>
      <w:szCs w:val="20"/>
      <w:lang w:eastAsia="ru-RU"/>
    </w:rPr>
  </w:style>
  <w:style w:type="paragraph" w:styleId="NormalWeb">
    <w:name w:val="Normal (Web)"/>
    <w:basedOn w:val="Normal"/>
    <w:qFormat/>
    <w:pPr>
      <w:spacing w:lineRule="auto" w:line="240" w:beforeAutospacing="1" w:afterAutospacing="1"/>
    </w:pPr>
    <w:rPr>
      <w:rFonts w:ascii="Times New Roman" w:hAnsi="Times New Roman" w:eastAsia="Times New Roman" w:cs="Times New Roman"/>
      <w:sz w:val="24"/>
      <w:szCs w:val="24"/>
      <w:lang w:eastAsia="ru-RU"/>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New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6350" cap="flat" cmpd="sng" algn="ctr"/>
        <a:ln w="12700" cap="flat" cmpd="sng" algn="ctr"/>
        <a:ln w="19050" cap="flat" cmpd="sng" algn="ctr"/>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206</TotalTime>
  <Application>LibreOffice/24.8.5.2$Linux_X86_64 LibreOffice_project/480$Build-2</Application>
  <AppVersion>15.0000</AppVersion>
  <Pages>90</Pages>
  <Words>17018</Words>
  <Characters>125373</Characters>
  <CharactersWithSpaces>140972</CharactersWithSpaces>
  <Paragraphs>1829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2026-07-09T16:26:01Z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