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7.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footer25.xml" ContentType="application/vnd.openxmlformats-officedocument.wordprocessingml.footer+xml"/>
  <Override PartName="/word/footer24.xml" ContentType="application/vnd.openxmlformats-officedocument.wordprocessingml.footer+xml"/>
  <Override PartName="/word/footer2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9.xml" ContentType="application/vnd.openxmlformats-officedocument.wordprocessingml.footer+xml"/>
  <Override PartName="/word/footer11.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footer22.xml" ContentType="application/vnd.openxmlformats-officedocument.wordprocessingml.footer+xml"/>
  <Override PartName="/word/document.xml" ContentType="application/vnd.openxmlformats-officedocument.wordprocessingml.document.main+xml"/>
  <Override PartName="/word/footer1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2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142"/>
        <w:jc w:val="center"/>
        <w:rPr>
          <w:rFonts w:ascii="Times New Roman" w:hAnsi="Times New Roman"/>
          <w:sz w:val="28"/>
          <w:szCs w:val="28"/>
        </w:rPr>
      </w:pPr>
      <w:r>
        <w:rPr>
          <w:rFonts w:cs="Times New Roman" w:ascii="Times New Roman" w:hAnsi="Times New Roman"/>
          <w:caps/>
          <w:sz w:val="28"/>
          <w:szCs w:val="28"/>
        </w:rPr>
        <w:t>СОВЕТ</w:t>
      </w:r>
    </w:p>
    <w:p>
      <w:pPr>
        <w:pStyle w:val="Normal"/>
        <w:spacing w:lineRule="auto" w:line="240" w:before="0" w:after="0"/>
        <w:ind w:left="-142"/>
        <w:jc w:val="center"/>
        <w:rPr>
          <w:rFonts w:ascii="Times New Roman" w:hAnsi="Times New Roman"/>
          <w:sz w:val="28"/>
          <w:szCs w:val="28"/>
        </w:rPr>
      </w:pPr>
      <w:r>
        <w:rPr>
          <w:rFonts w:cs="Times New Roman" w:ascii="Times New Roman" w:hAnsi="Times New Roman"/>
          <w:caps/>
          <w:sz w:val="28"/>
          <w:szCs w:val="28"/>
        </w:rPr>
        <w:t>ТУРКМЕНСКОГО муниципального округа</w:t>
      </w:r>
    </w:p>
    <w:p>
      <w:pPr>
        <w:pStyle w:val="Normal"/>
        <w:spacing w:lineRule="auto" w:line="240" w:before="0" w:after="0"/>
        <w:ind w:left="-142"/>
        <w:jc w:val="center"/>
        <w:rPr>
          <w:rFonts w:ascii="Times New Roman" w:hAnsi="Times New Roman"/>
          <w:sz w:val="28"/>
          <w:szCs w:val="28"/>
        </w:rPr>
      </w:pPr>
      <w:r>
        <w:rPr>
          <w:rFonts w:cs="Times New Roman" w:ascii="Times New Roman" w:hAnsi="Times New Roman"/>
          <w:caps/>
          <w:sz w:val="28"/>
          <w:szCs w:val="28"/>
        </w:rPr>
        <w:t>СТАВРОПОЛЬСКОГО КРАЯ ВТОРОГО СОЗЫВА</w:t>
      </w:r>
    </w:p>
    <w:p>
      <w:pPr>
        <w:pStyle w:val="Normal"/>
        <w:spacing w:lineRule="auto" w:line="240" w:before="0" w:after="0"/>
        <w:jc w:val="center"/>
        <w:rPr>
          <w:rFonts w:ascii="Times New Roman" w:hAnsi="Times New Roman"/>
          <w:sz w:val="28"/>
          <w:szCs w:val="28"/>
        </w:rPr>
      </w:pPr>
      <w:r>
        <w:rPr>
          <w:rFonts w:cs="Times New Roman" w:ascii="Times New Roman" w:hAnsi="Times New Roman"/>
          <w:sz w:val="28"/>
          <w:szCs w:val="28"/>
        </w:rPr>
        <w:t xml:space="preserve">Р Е Ш Е Н И Е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sz w:val="28"/>
          <w:szCs w:val="28"/>
        </w:rPr>
      </w:pPr>
      <w:r>
        <w:rPr>
          <w:rFonts w:cs="Times New Roman" w:ascii="Times New Roman" w:hAnsi="Times New Roman"/>
          <w:sz w:val="28"/>
          <w:szCs w:val="28"/>
        </w:rPr>
        <w:t>25 августа 2026 г.                          с. Летняя Ставка                                       № 94</w:t>
      </w:r>
    </w:p>
    <w:p>
      <w:pPr>
        <w:pStyle w:val="ConsPlusTitle"/>
        <w:spacing w:lineRule="exact" w:line="240"/>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Normal"/>
        <w:spacing w:lineRule="auto" w:line="240" w:before="0" w:after="0"/>
        <w:jc w:val="both"/>
        <w:rPr>
          <w:rFonts w:ascii="Times New Roman" w:hAnsi="Times New Roman"/>
          <w:sz w:val="28"/>
          <w:szCs w:val="28"/>
        </w:rPr>
      </w:pPr>
      <w:r>
        <w:rPr>
          <w:rFonts w:cs="Times New Roman" w:ascii="Times New Roman" w:hAnsi="Times New Roman"/>
          <w:sz w:val="28"/>
          <w:szCs w:val="28"/>
        </w:rPr>
        <w:t xml:space="preserve">Об утверждении Программы комплексного развития систем коммунальной инфраструктуры Туркменского муниципального округа Ставропольского края </w:t>
      </w:r>
      <w:r>
        <w:rPr>
          <w:rFonts w:cs="Times New Roman" w:ascii="Times New Roman" w:hAnsi="Times New Roman"/>
          <w:bCs/>
          <w:sz w:val="28"/>
          <w:szCs w:val="28"/>
        </w:rPr>
        <w:t>до 2041 года</w:t>
      </w:r>
    </w:p>
    <w:p>
      <w:pPr>
        <w:pStyle w:val="Normal"/>
        <w:spacing w:lineRule="auto" w:line="240" w:before="0" w:after="0"/>
        <w:jc w:val="both"/>
        <w:rPr>
          <w:rFonts w:ascii="Times New Roman" w:hAnsi="Times New Roman"/>
          <w:sz w:val="28"/>
          <w:szCs w:val="28"/>
        </w:rPr>
      </w:pPr>
      <w:r>
        <w:rPr/>
      </w:r>
    </w:p>
    <w:p>
      <w:pPr>
        <w:pStyle w:val="BodyText"/>
        <w:spacing w:lineRule="auto" w:line="240"/>
        <w:ind w:firstLine="709" w:left="39"/>
        <w:jc w:val="both"/>
        <w:rPr/>
      </w:pPr>
      <w:r>
        <w:rPr>
          <w:b w:val="false"/>
          <w:bCs w:val="false"/>
          <w:u w:val="none"/>
        </w:rPr>
        <w:t xml:space="preserve">В соответствии </w:t>
      </w:r>
      <w:r>
        <w:rPr>
          <w:b w:val="false"/>
          <w:bCs w:val="false"/>
          <w:color w:val="000000"/>
          <w:u w:val="none"/>
        </w:rPr>
        <w:t xml:space="preserve">с Градостроительным кодексом Российской Федерации, </w:t>
      </w:r>
      <w:r>
        <w:rPr>
          <w:b w:val="false"/>
          <w:bCs w:val="false"/>
          <w:u w:val="none"/>
        </w:rPr>
        <w:t xml:space="preserve">Федеральными законами от 06 октября 2003 г. № 131-ФЗ «Об общих принципах организации местного самоуправления в Российской Федерации», от </w:t>
      </w:r>
      <w:r>
        <w:rPr>
          <w:b w:val="false"/>
          <w:u w:val="none"/>
        </w:rPr>
        <w:t xml:space="preserve">20 марта 2025 г. № 33-ФЗ </w:t>
      </w:r>
      <w:hyperlink r:id="rId2" w:tgtFrame="_blank">
        <w:r>
          <w:rPr>
            <w:rStyle w:val="Hyperlink"/>
            <w:b w:val="false"/>
            <w:color w:val="auto"/>
            <w:u w:val="none"/>
          </w:rPr>
          <w:t>«Об общих принципах организации местного самоуправления в единой системе публичной власти</w:t>
        </w:r>
      </w:hyperlink>
      <w:r>
        <w:rPr>
          <w:b w:val="false"/>
          <w:u w:val="none"/>
        </w:rPr>
        <w:t xml:space="preserve">», </w:t>
      </w:r>
      <w:r>
        <w:rPr>
          <w:rStyle w:val="Hyperlink"/>
          <w:b w:val="false"/>
          <w:bCs w:val="false"/>
          <w:color w:val="000000"/>
          <w:u w:val="none"/>
        </w:rPr>
        <w:t>постановлением</w:t>
      </w:r>
      <w:r>
        <w:rPr>
          <w:b w:val="false"/>
          <w:bCs w:val="false"/>
          <w:u w:val="none"/>
        </w:rPr>
        <w:t xml:space="preserve"> Правительства Российской Федерации от 14 июня 2013 г. № 502 «Об утверждении требований к программам комплексного развития систем коммунальной инфраструктуры поселений, муниципальных округов, городских округов», </w:t>
      </w:r>
      <w:r>
        <w:rPr>
          <w:rStyle w:val="Hyperlink"/>
          <w:b w:val="false"/>
          <w:bCs w:val="false"/>
          <w:color w:val="000000"/>
          <w:u w:val="none"/>
        </w:rPr>
        <w:t>Уставом</w:t>
      </w:r>
      <w:r>
        <w:rPr>
          <w:b w:val="false"/>
          <w:bCs w:val="false"/>
          <w:u w:val="none"/>
        </w:rPr>
        <w:t xml:space="preserve"> Туркменского муниципального округа Ставропольского края</w:t>
      </w:r>
    </w:p>
    <w:p>
      <w:pPr>
        <w:pStyle w:val="BodyText"/>
        <w:spacing w:lineRule="auto" w:line="240"/>
        <w:ind w:firstLine="709" w:left="39"/>
        <w:jc w:val="both"/>
        <w:rPr/>
      </w:pPr>
      <w:r>
        <w:rPr>
          <w:b w:val="false"/>
          <w:bCs w:val="false"/>
          <w:u w:val="none"/>
        </w:rPr>
        <w:t>Совет Туркменского муниципального округа Ставропольского края</w:t>
      </w:r>
    </w:p>
    <w:p>
      <w:pPr>
        <w:pStyle w:val="Normal"/>
        <w:spacing w:lineRule="auto" w:line="240" w:before="0" w:after="0"/>
        <w:jc w:val="both"/>
        <w:rPr>
          <w:rFonts w:ascii="Times New Roman" w:hAnsi="Times New Roman"/>
          <w:sz w:val="28"/>
          <w:szCs w:val="28"/>
        </w:rPr>
      </w:pPr>
      <w:r>
        <w:rPr>
          <w:rFonts w:cs="Times New Roman" w:ascii="Times New Roman" w:hAnsi="Times New Roman"/>
          <w:sz w:val="28"/>
          <w:szCs w:val="28"/>
        </w:rPr>
        <w:t>Р Е Ш И Л:</w:t>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xml:space="preserve">1. Утвердить прилагаемую Программу комплексного развития систем коммунальной инфраструктуры Туркменского муниципального округа Ставропольского края </w:t>
      </w:r>
      <w:r>
        <w:rPr>
          <w:rFonts w:cs="Times New Roman" w:ascii="Times New Roman" w:hAnsi="Times New Roman"/>
          <w:bCs/>
          <w:sz w:val="28"/>
          <w:szCs w:val="28"/>
        </w:rPr>
        <w:t>до 2041 года</w:t>
      </w:r>
      <w:r>
        <w:rPr>
          <w:rFonts w:cs="Times New Roman" w:ascii="Times New Roman" w:hAnsi="Times New Roman"/>
          <w:sz w:val="28"/>
          <w:szCs w:val="28"/>
        </w:rPr>
        <w:t>.</w:t>
      </w:r>
    </w:p>
    <w:p>
      <w:pPr>
        <w:pStyle w:val="Normal"/>
        <w:tabs>
          <w:tab w:val="clear" w:pos="708"/>
          <w:tab w:val="left" w:pos="993" w:leader="none"/>
        </w:tabs>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2. Контроль за выполнением настоящего решения возложить на Постоянную комиссию Совета Туркменского муниципального округа Ставропольского края по местному самоуправлению, правопорядку, социальным вопросам, связям с общественными организациями (председатель - А.Н.Кушнарев).</w:t>
      </w:r>
    </w:p>
    <w:p>
      <w:pPr>
        <w:pStyle w:val="NormalWeb"/>
        <w:spacing w:lineRule="atLeast" w:line="192" w:beforeAutospacing="0" w:before="0" w:afterAutospacing="0" w:after="0"/>
        <w:ind w:firstLine="709"/>
        <w:jc w:val="both"/>
        <w:rPr/>
      </w:pPr>
      <w:r>
        <w:rPr>
          <w:sz w:val="28"/>
          <w:szCs w:val="28"/>
        </w:rPr>
        <w:t>3. Опубликовать настоящее решение в сетевом издании органов местного самоуправления Туркменского муниципального округа Ставропольского края «Правовой портал Туркменского муниципального округа Ставропольского края» (</w:t>
      </w:r>
      <w:hyperlink r:id="rId3">
        <w:r>
          <w:rPr>
            <w:rStyle w:val="Hyperlink"/>
            <w:color w:val="auto"/>
            <w:sz w:val="28"/>
            <w:szCs w:val="28"/>
            <w:u w:val="none"/>
          </w:rPr>
          <w:t>http://право</w:t>
        </w:r>
      </w:hyperlink>
      <w:r>
        <w:rPr>
          <w:sz w:val="28"/>
          <w:szCs w:val="28"/>
        </w:rPr>
        <w:t>-туркменский.рф) в информационно-телекоммуникационной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Настоящее решение вступает в силу после дня его официального опубликования.</w:t>
      </w:r>
    </w:p>
    <w:tbl>
      <w:tblPr>
        <w:tblW w:w="9570" w:type="dxa"/>
        <w:jc w:val="left"/>
        <w:tblInd w:w="216" w:type="dxa"/>
        <w:tblLayout w:type="fixed"/>
        <w:tblCellMar>
          <w:top w:w="0" w:type="dxa"/>
          <w:left w:w="108" w:type="dxa"/>
          <w:bottom w:w="0" w:type="dxa"/>
          <w:right w:w="108" w:type="dxa"/>
        </w:tblCellMar>
        <w:tblLook w:val="04a0"/>
      </w:tblPr>
      <w:tblGrid>
        <w:gridCol w:w="4927"/>
        <w:gridCol w:w="4642"/>
      </w:tblGrid>
      <w:tr>
        <w:trPr/>
        <w:tc>
          <w:tcPr>
            <w:tcW w:w="4927" w:type="dxa"/>
            <w:tcBorders/>
            <w:shd w:color="auto" w:fill="auto" w:val="clear"/>
          </w:tcPr>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t>Председатель Совета Туркменского</w:t>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t>муниципального округа</w:t>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t>Ставропольского края</w:t>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r>
          </w:p>
        </w:tc>
        <w:tc>
          <w:tcPr>
            <w:tcW w:w="4642" w:type="dxa"/>
            <w:tcBorders/>
            <w:shd w:color="auto" w:fill="auto" w:val="clear"/>
          </w:tcPr>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r>
          </w:p>
          <w:p>
            <w:pPr>
              <w:pStyle w:val="Normal"/>
              <w:widowControl w:val="false"/>
              <w:spacing w:lineRule="auto" w:line="240" w:before="0" w:after="0"/>
              <w:jc w:val="right"/>
              <w:rPr>
                <w:rFonts w:ascii="Times New Roman" w:hAnsi="Times New Roman" w:cs="Times New Roman"/>
                <w:sz w:val="28"/>
                <w:szCs w:val="28"/>
                <w:lang w:val="ru-MO"/>
              </w:rPr>
            </w:pPr>
            <w:r>
              <w:rPr>
                <w:rFonts w:cs="Times New Roman" w:ascii="Times New Roman" w:hAnsi="Times New Roman"/>
                <w:sz w:val="28"/>
                <w:szCs w:val="28"/>
                <w:lang w:val="ru-MO"/>
              </w:rPr>
              <w:t>Г.В. Ефимов</w:t>
            </w:r>
          </w:p>
        </w:tc>
      </w:tr>
      <w:tr>
        <w:trPr/>
        <w:tc>
          <w:tcPr>
            <w:tcW w:w="4927" w:type="dxa"/>
            <w:tcBorders/>
            <w:shd w:color="auto" w:fill="auto" w:val="clear"/>
          </w:tcPr>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t>Глава Туркменского</w:t>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t>муниципального округа Ставропольского края</w:t>
            </w:r>
          </w:p>
        </w:tc>
        <w:tc>
          <w:tcPr>
            <w:tcW w:w="4642" w:type="dxa"/>
            <w:tcBorders/>
            <w:shd w:color="auto" w:fill="auto" w:val="clear"/>
          </w:tcPr>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r>
          </w:p>
          <w:p>
            <w:pPr>
              <w:pStyle w:val="Normal"/>
              <w:widowControl w:val="false"/>
              <w:spacing w:lineRule="auto" w:line="240" w:before="0" w:after="0"/>
              <w:rPr>
                <w:rFonts w:ascii="Times New Roman" w:hAnsi="Times New Roman" w:cs="Times New Roman"/>
                <w:sz w:val="28"/>
                <w:szCs w:val="28"/>
                <w:lang w:val="ru-MO"/>
              </w:rPr>
            </w:pPr>
            <w:r>
              <w:rPr>
                <w:rFonts w:cs="Times New Roman" w:ascii="Times New Roman" w:hAnsi="Times New Roman"/>
                <w:sz w:val="28"/>
                <w:szCs w:val="28"/>
                <w:lang w:val="ru-MO"/>
              </w:rPr>
            </w:r>
          </w:p>
          <w:p>
            <w:pPr>
              <w:pStyle w:val="Normal"/>
              <w:widowControl w:val="false"/>
              <w:spacing w:lineRule="auto" w:line="240" w:before="0" w:after="0"/>
              <w:jc w:val="right"/>
              <w:rPr>
                <w:rFonts w:ascii="Times New Roman" w:hAnsi="Times New Roman" w:cs="Times New Roman"/>
                <w:sz w:val="28"/>
                <w:szCs w:val="28"/>
                <w:lang w:val="ru-MO"/>
              </w:rPr>
            </w:pPr>
            <w:r>
              <w:rPr>
                <w:rFonts w:cs="Times New Roman" w:ascii="Times New Roman" w:hAnsi="Times New Roman"/>
                <w:sz w:val="28"/>
                <w:szCs w:val="28"/>
                <w:lang w:val="ru-MO"/>
              </w:rPr>
              <w:t>С.В. Козырь</w:t>
            </w:r>
          </w:p>
        </w:tc>
      </w:tr>
    </w:tbl>
    <w:p>
      <w:pPr>
        <w:pStyle w:val="Normal"/>
        <w:numPr>
          <w:ilvl w:val="0"/>
          <w:numId w:val="0"/>
        </w:numPr>
        <w:spacing w:lineRule="auto" w:line="240" w:before="0" w:after="0"/>
        <w:ind w:left="4820"/>
        <w:jc w:val="center"/>
        <w:outlineLvl w:val="0"/>
        <w:rPr>
          <w:rFonts w:ascii="Times New Roman" w:hAnsi="Times New Roman" w:cs="Times New Roman"/>
          <w:sz w:val="28"/>
          <w:szCs w:val="28"/>
        </w:rPr>
      </w:pPr>
      <w:r>
        <w:rPr>
          <w:rFonts w:cs="Times New Roman" w:ascii="Times New Roman" w:hAnsi="Times New Roman"/>
          <w:sz w:val="28"/>
          <w:szCs w:val="28"/>
        </w:rPr>
        <w:t>УТВЕРЖДЕНО</w:t>
      </w:r>
    </w:p>
    <w:p>
      <w:pPr>
        <w:pStyle w:val="Normal"/>
        <w:spacing w:lineRule="auto" w:line="240" w:before="0" w:after="0"/>
        <w:ind w:left="4820"/>
        <w:jc w:val="center"/>
        <w:rPr>
          <w:rFonts w:ascii="Times New Roman" w:hAnsi="Times New Roman" w:cs="Times New Roman"/>
          <w:sz w:val="28"/>
          <w:szCs w:val="28"/>
        </w:rPr>
      </w:pPr>
      <w:r>
        <w:rPr>
          <w:rFonts w:cs="Times New Roman" w:ascii="Times New Roman" w:hAnsi="Times New Roman"/>
          <w:sz w:val="28"/>
          <w:szCs w:val="28"/>
        </w:rPr>
        <w:t>решением Совета Туркменского муниципального округа Ставропольского края</w:t>
      </w:r>
    </w:p>
    <w:p>
      <w:pPr>
        <w:pStyle w:val="Normal"/>
        <w:spacing w:lineRule="auto" w:line="240" w:before="0" w:after="0"/>
        <w:ind w:left="4820"/>
        <w:jc w:val="center"/>
        <w:rPr>
          <w:rFonts w:ascii="Times New Roman" w:hAnsi="Times New Roman" w:eastAsia="Microsoft Sans Serif" w:cs="Times New Roman"/>
          <w:color w:val="000000"/>
          <w:sz w:val="2"/>
          <w:szCs w:val="2"/>
          <w:lang w:eastAsia="ru-RU" w:bidi="ru-RU"/>
        </w:rPr>
      </w:pPr>
      <w:r>
        <w:rPr>
          <w:rFonts w:cs="Times New Roman" w:ascii="Times New Roman" w:hAnsi="Times New Roman"/>
          <w:sz w:val="28"/>
          <w:szCs w:val="28"/>
        </w:rPr>
        <w:t>от 25 августа 2026 года № 94</w:t>
      </w:r>
    </w:p>
    <w:p>
      <w:pPr>
        <w:pStyle w:val="Normal"/>
        <w:spacing w:lineRule="auto" w:line="240" w:before="0" w:after="0"/>
        <w:rPr>
          <w:rFonts w:ascii="Times New Roman" w:hAnsi="Times New Roman" w:eastAsia="Microsoft Sans Serif" w:cs="Times New Roman"/>
          <w:color w:val="000000"/>
          <w:sz w:val="2"/>
          <w:szCs w:val="2"/>
          <w:lang w:eastAsia="ru-RU" w:bidi="ru-RU"/>
        </w:rPr>
      </w:pPr>
      <w:r>
        <w:rPr>
          <w:rFonts w:eastAsia="Microsoft Sans Serif" w:cs="Times New Roman" w:ascii="Times New Roman" w:hAnsi="Times New Roman"/>
          <w:color w:val="000000"/>
          <w:sz w:val="2"/>
          <w:szCs w:val="2"/>
          <w:lang w:eastAsia="ru-RU" w:bidi="ru-RU"/>
        </w:rPr>
      </w:r>
    </w:p>
    <w:p>
      <w:pPr>
        <w:pStyle w:val="Normal"/>
        <w:spacing w:lineRule="auto" w:line="240" w:before="0" w:after="0"/>
        <w:ind w:right="680"/>
        <w:jc w:val="center"/>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spacing w:lineRule="auto" w:line="240" w:before="0" w:after="0"/>
        <w:ind w:right="680"/>
        <w:jc w:val="center"/>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right="680"/>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 xml:space="preserve">ПРОГРАММА </w:t>
      </w:r>
    </w:p>
    <w:p>
      <w:pPr>
        <w:pStyle w:val="Normal"/>
        <w:widowControl w:val="false"/>
        <w:spacing w:lineRule="auto" w:line="240" w:before="0" w:after="0"/>
        <w:ind w:right="680"/>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КОМПЛЕКСНОЕ РАЗВИТИЕ СИСТЕМ КОММУНАЛЬНОЙ ИНФРАСТРУКТУРЫ ТУРКМЕНСКОГО МУНИЦИПАЛЬНОГО ОКРУГА СТАВРОПОЛЬСКОГО КРАЯ ДО 2041 ГОДА</w:t>
      </w:r>
    </w:p>
    <w:p>
      <w:pPr>
        <w:pStyle w:val="Normal"/>
        <w:widowControl w:val="false"/>
        <w:spacing w:lineRule="auto" w:line="240" w:before="0" w:after="0"/>
        <w:ind w:right="680"/>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widowControl w:val="false"/>
        <w:spacing w:lineRule="auto" w:line="240" w:before="0" w:after="0"/>
        <w:ind w:right="680"/>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t>2026</w:t>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right="126"/>
        <w:jc w:val="center"/>
        <w:rPr>
          <w:rFonts w:ascii="Times New Roman" w:hAnsi="Times New Roman" w:cs="Times New Roman"/>
          <w:sz w:val="24"/>
          <w:szCs w:val="24"/>
        </w:rPr>
      </w:pPr>
      <w:r>
        <w:rPr>
          <w:rFonts w:cs="Times New Roman" w:ascii="Times New Roman" w:hAnsi="Times New Roman"/>
          <w:sz w:val="24"/>
          <w:szCs w:val="24"/>
        </w:rPr>
        <w:t>ВВЕДЕНИЕ</w:t>
      </w:r>
    </w:p>
    <w:p>
      <w:pPr>
        <w:pStyle w:val="Normal"/>
        <w:spacing w:lineRule="auto" w:line="240" w:before="0" w:after="0"/>
        <w:ind w:right="126"/>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t>Программа комплексного развития систем коммунальной инфраструктуры поселения – это документ, устанавливающий перечень мероприятий по проектированию, строительству, реконструкции систем электро-, газо-, тепло-, водоснабжения и водоотведения, объектов, используемых для утилизации, обезвреживания и захоронения твердых коммунальных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программами в области обращения с отходами.</w:t>
      </w:r>
    </w:p>
    <w:p>
      <w:pPr>
        <w:pStyle w:val="Normal"/>
        <w:spacing w:lineRule="auto" w:line="240" w:before="0" w:after="0"/>
        <w:ind w:firstLine="567" w:right="127"/>
        <w:jc w:val="both"/>
        <w:rPr>
          <w:rFonts w:ascii="Times New Roman" w:hAnsi="Times New Roman" w:cs="Times New Roman"/>
          <w:sz w:val="24"/>
          <w:szCs w:val="24"/>
        </w:rPr>
      </w:pPr>
      <w:r>
        <w:rPr>
          <w:rFonts w:cs="Times New Roman" w:ascii="Times New Roman" w:hAnsi="Times New Roman"/>
          <w:sz w:val="24"/>
          <w:szCs w:val="24"/>
        </w:rPr>
        <w:t>Программа комплексного развития систем коммунальной инфраструктуры поселения разрабатывается на основании генерального плана поселения и должна обеспечить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утилизации, обезвреживанию и захоронению твердых коммунальных отходов.</w:t>
      </w:r>
    </w:p>
    <w:p>
      <w:pPr>
        <w:pStyle w:val="Normal"/>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t>Нормативно-правовой основой для разработки и реализации программы комплексного развития систем коммунальной инфраструктуры Туркменского муниципального округа Ставропольского края являются:</w:t>
      </w:r>
    </w:p>
    <w:p>
      <w:pPr>
        <w:pStyle w:val="Normal"/>
        <w:tabs>
          <w:tab w:val="clear" w:pos="708"/>
          <w:tab w:val="left" w:pos="1518" w:leader="none"/>
        </w:tabs>
        <w:spacing w:lineRule="auto" w:line="240" w:before="0" w:after="0"/>
        <w:ind w:firstLine="567" w:right="127"/>
        <w:jc w:val="both"/>
        <w:rPr>
          <w:rFonts w:ascii="Times New Roman" w:hAnsi="Times New Roman" w:cs="Times New Roman"/>
          <w:sz w:val="24"/>
          <w:szCs w:val="24"/>
        </w:rPr>
      </w:pPr>
      <w:r>
        <w:rPr>
          <w:rFonts w:cs="Times New Roman" w:ascii="Times New Roman" w:hAnsi="Times New Roman"/>
          <w:sz w:val="24"/>
          <w:szCs w:val="24"/>
        </w:rPr>
        <w:t>- Градостроительный кодекс Российской Федерации, утвержденный Федеральным законом от 29.12.2004 № 190-ФЗ;</w:t>
      </w:r>
    </w:p>
    <w:p>
      <w:pPr>
        <w:pStyle w:val="Normal"/>
        <w:tabs>
          <w:tab w:val="clear" w:pos="708"/>
          <w:tab w:val="left" w:pos="1518" w:leader="none"/>
        </w:tabs>
        <w:spacing w:lineRule="auto" w:line="240" w:before="0" w:after="0"/>
        <w:ind w:firstLine="567" w:right="127"/>
        <w:jc w:val="both"/>
        <w:rPr>
          <w:rFonts w:ascii="Times New Roman" w:hAnsi="Times New Roman" w:cs="Times New Roman"/>
          <w:sz w:val="24"/>
          <w:szCs w:val="24"/>
        </w:rPr>
      </w:pPr>
      <w:r>
        <w:rPr>
          <w:rFonts w:cs="Times New Roman"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w:t>
      </w:r>
    </w:p>
    <w:p>
      <w:pPr>
        <w:pStyle w:val="Normal"/>
        <w:tabs>
          <w:tab w:val="clear" w:pos="708"/>
          <w:tab w:val="left" w:pos="1518" w:leader="none"/>
        </w:tabs>
        <w:spacing w:lineRule="auto" w:line="240" w:before="0" w:after="0"/>
        <w:ind w:firstLine="567" w:right="127"/>
        <w:jc w:val="both"/>
        <w:rPr>
          <w:rFonts w:ascii="Times New Roman" w:hAnsi="Times New Roman" w:cs="Times New Roman"/>
          <w:sz w:val="24"/>
          <w:szCs w:val="24"/>
        </w:rPr>
      </w:pPr>
      <w:r>
        <w:rPr>
          <w:rFonts w:cs="Times New Roman" w:ascii="Times New Roman" w:hAnsi="Times New Roman"/>
          <w:sz w:val="24"/>
          <w:szCs w:val="24"/>
        </w:rPr>
        <w:t xml:space="preserve">- Федеральный закон от 20.03.2025 № 33-ФЗ </w:t>
      </w:r>
      <w:hyperlink r:id="rId4" w:tgtFrame="_blank">
        <w:r>
          <w:rPr>
            <w:rStyle w:val="Hyperlink"/>
            <w:rFonts w:cs="Times New Roman" w:ascii="Times New Roman" w:hAnsi="Times New Roman"/>
            <w:color w:val="auto"/>
            <w:sz w:val="24"/>
            <w:szCs w:val="24"/>
            <w:u w:val="none"/>
          </w:rPr>
          <w:t>«Об общих принципах организации местного самоуправления в единой системе публичной власти</w:t>
        </w:r>
      </w:hyperlink>
      <w:r>
        <w:rPr>
          <w:rFonts w:cs="Times New Roman" w:ascii="Times New Roman" w:hAnsi="Times New Roman"/>
          <w:sz w:val="24"/>
          <w:szCs w:val="24"/>
        </w:rPr>
        <w:t>»;</w:t>
      </w:r>
    </w:p>
    <w:p>
      <w:pPr>
        <w:pStyle w:val="Normal"/>
        <w:tabs>
          <w:tab w:val="clear" w:pos="708"/>
          <w:tab w:val="left" w:pos="1518" w:leader="none"/>
        </w:tabs>
        <w:spacing w:lineRule="auto" w:line="240" w:before="0" w:after="0"/>
        <w:ind w:firstLine="567" w:right="131"/>
        <w:jc w:val="both"/>
        <w:rPr>
          <w:rFonts w:ascii="Times New Roman" w:hAnsi="Times New Roman" w:cs="Times New Roman"/>
          <w:sz w:val="24"/>
          <w:szCs w:val="24"/>
        </w:rPr>
      </w:pPr>
      <w:r>
        <w:rPr>
          <w:rFonts w:cs="Times New Roman" w:ascii="Times New Roman" w:hAnsi="Times New Roman"/>
          <w:sz w:val="24"/>
          <w:szCs w:val="24"/>
        </w:rPr>
        <w:t>- Постановление Правительства РФ от 14.06.2013 № 502 «Об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bCs/>
          <w:iCs/>
          <w:sz w:val="24"/>
          <w:szCs w:val="24"/>
        </w:rPr>
        <w:t>Технической базой разработки являются</w:t>
      </w:r>
      <w:r>
        <w:rPr>
          <w:rFonts w:cs="Times New Roman" w:ascii="Times New Roman" w:hAnsi="Times New Roman"/>
          <w:sz w:val="24"/>
          <w:szCs w:val="24"/>
        </w:rPr>
        <w:t>:</w:t>
      </w:r>
    </w:p>
    <w:p>
      <w:pPr>
        <w:pStyle w:val="Normal"/>
        <w:spacing w:lineRule="auto" w:line="240" w:before="0" w:after="0"/>
        <w:ind w:firstLine="567"/>
        <w:jc w:val="both"/>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 Генеральный план Туркменского муниципального округа Ставропольского края, утвержденный решением Совета Туркменского муниципального округа Ставропольского края от 27.05.2025 № 607, документы территориального планирования Туркменского муниципального округа Ставропольского края;</w:t>
      </w:r>
    </w:p>
    <w:p>
      <w:pPr>
        <w:pStyle w:val="Normal"/>
        <w:spacing w:lineRule="auto" w:line="240" w:before="0" w:after="0"/>
        <w:ind w:firstLine="567"/>
        <w:jc w:val="both"/>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 Схема территориального планирования Ставропольского края, утвержденная Постановлением Правительства Ставропольского края от 05.04.2011 № 116-п;</w:t>
      </w:r>
    </w:p>
    <w:p>
      <w:pPr>
        <w:pStyle w:val="Normal"/>
        <w:spacing w:lineRule="auto" w:line="240" w:before="0" w:after="0"/>
        <w:ind w:firstLine="567"/>
        <w:jc w:val="both"/>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 Стратегия социально-экономического развития Туркменского муниципального округа Ставропольского края до 2036 г., утвержденная решением Совета Туркменского муниципального округа Ставропольского края от 17.02.2026 № 46,</w:t>
      </w:r>
    </w:p>
    <w:p>
      <w:pPr>
        <w:pStyle w:val="NormalWeb"/>
        <w:shd w:val="clear" w:color="auto" w:fill="FFFFFF"/>
        <w:spacing w:before="0" w:after="0"/>
        <w:ind w:firstLine="567"/>
        <w:jc w:val="both"/>
        <w:rPr>
          <w:lang w:bidi="en-US"/>
        </w:rPr>
      </w:pPr>
      <w:r>
        <w:rPr>
          <w:lang w:bidi="en-US"/>
        </w:rPr>
        <w:t xml:space="preserve">- </w:t>
      </w:r>
      <w:r>
        <w:rPr>
          <w:rStyle w:val="markdown-word"/>
          <w:spacing w:val="3"/>
        </w:rPr>
        <w:t>Стратегия социально-экономического развития Ставропольского края до 2030 года и на период до 2036 года, утвержденная Законом Ставропольского края от 25.12.2025 № 126-кз.</w:t>
      </w:r>
    </w:p>
    <w:p>
      <w:pPr>
        <w:pStyle w:val="Normal"/>
        <w:spacing w:lineRule="auto" w:line="240" w:before="0" w:after="0"/>
        <w:ind w:firstLine="567"/>
        <w:jc w:val="both"/>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 Схема водоснабжения и водоотведения Туркменского муниципального округа Ставропольского края;</w:t>
      </w:r>
    </w:p>
    <w:p>
      <w:pPr>
        <w:pStyle w:val="Normal"/>
        <w:spacing w:lineRule="auto" w:line="240" w:before="0" w:after="0"/>
        <w:ind w:firstLine="567"/>
        <w:jc w:val="both"/>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 Схема теплоснабжения Туркменского муниципального округа Ставропольского края;</w:t>
      </w:r>
    </w:p>
    <w:p>
      <w:pPr>
        <w:pStyle w:val="Normal"/>
        <w:tabs>
          <w:tab w:val="clear" w:pos="708"/>
          <w:tab w:val="left" w:pos="1518" w:leader="none"/>
        </w:tabs>
        <w:spacing w:lineRule="auto" w:line="240" w:before="0" w:after="0"/>
        <w:ind w:firstLine="567" w:right="127"/>
        <w:jc w:val="both"/>
        <w:rPr>
          <w:rFonts w:ascii="Times New Roman" w:hAnsi="Times New Roman" w:cs="Times New Roman"/>
          <w:sz w:val="24"/>
          <w:szCs w:val="24"/>
        </w:rPr>
      </w:pPr>
      <w:r>
        <w:rPr>
          <w:rFonts w:cs="Times New Roman" w:ascii="Times New Roman" w:hAnsi="Times New Roman"/>
          <w:sz w:val="24"/>
          <w:szCs w:val="24"/>
        </w:rPr>
        <w:t>- СП 42.13330.2026. Свод правил. Градостроительство. Планировка и застройка городских и сельских поселений. Актуализированная редакция СНиП2.07.01-89*(с изменениями №1,2), утвержденные Приказом Министерства строительства и жилищно-коммунального хозяйства Российской Федерации от 30.12.2016 года № 1034/пр.;</w:t>
      </w:r>
    </w:p>
    <w:p>
      <w:pPr>
        <w:pStyle w:val="Normal"/>
        <w:tabs>
          <w:tab w:val="clear" w:pos="708"/>
          <w:tab w:val="left" w:pos="1518" w:leader="none"/>
        </w:tabs>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t>- СП42-101-2003. Свод правил по проектированию и строительству;</w:t>
      </w:r>
    </w:p>
    <w:p>
      <w:pPr>
        <w:pStyle w:val="Normal"/>
        <w:tabs>
          <w:tab w:val="clear" w:pos="708"/>
          <w:tab w:val="left" w:pos="1518" w:leader="none"/>
        </w:tabs>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t>- общие положения по проектированию и строительству газораспределительных систем из металлических и полиэтиленовых труб, одобренные Постановлением Госстроя РФ от 26.06.2003 № 112;</w:t>
      </w:r>
    </w:p>
    <w:p>
      <w:pPr>
        <w:pStyle w:val="Normal"/>
        <w:tabs>
          <w:tab w:val="clear" w:pos="708"/>
          <w:tab w:val="left" w:pos="1518" w:leader="none"/>
        </w:tabs>
        <w:spacing w:lineRule="auto" w:line="240" w:before="0" w:after="0"/>
        <w:ind w:firstLine="567" w:right="126"/>
        <w:jc w:val="both"/>
        <w:rPr>
          <w:rFonts w:ascii="Times New Roman" w:hAnsi="Times New Roman" w:cs="Times New Roman"/>
          <w:sz w:val="24"/>
          <w:szCs w:val="24"/>
        </w:rPr>
      </w:pPr>
      <w:r>
        <w:rPr>
          <w:rFonts w:cs="Times New Roman" w:ascii="Times New Roman" w:hAnsi="Times New Roman"/>
          <w:sz w:val="24"/>
          <w:szCs w:val="24"/>
        </w:rPr>
        <w:t xml:space="preserve">- СП124.13330.2012. Свод правил. Тепловые сети. Актуализированная редакция СНиП41-02-2003, утвержденные Приказом </w:t>
      </w:r>
      <w:r>
        <w:rPr>
          <w:rFonts w:eastAsia="Times New Roman" w:cs="Times New Roman" w:ascii="Times New Roman" w:hAnsi="Times New Roman"/>
          <w:sz w:val="24"/>
          <w:szCs w:val="24"/>
          <w:lang w:eastAsia="ru-RU"/>
        </w:rPr>
        <w:t>Министерства регионального развития Российской Федерации</w:t>
      </w:r>
      <w:r>
        <w:rPr>
          <w:rFonts w:cs="Times New Roman" w:ascii="Times New Roman" w:hAnsi="Times New Roman"/>
          <w:sz w:val="24"/>
          <w:szCs w:val="24"/>
        </w:rPr>
        <w:t xml:space="preserve"> от 30.06.2012 № 280;</w:t>
      </w:r>
    </w:p>
    <w:p>
      <w:pPr>
        <w:pStyle w:val="Normal"/>
        <w:tabs>
          <w:tab w:val="clear" w:pos="708"/>
          <w:tab w:val="left" w:pos="1518" w:leader="none"/>
        </w:tabs>
        <w:spacing w:lineRule="auto" w:line="240" w:before="0" w:after="0"/>
        <w:ind w:left="567" w:right="124"/>
        <w:jc w:val="both"/>
        <w:rPr>
          <w:rFonts w:ascii="Times New Roman" w:hAnsi="Times New Roman" w:cs="Times New Roman"/>
          <w:sz w:val="24"/>
          <w:szCs w:val="24"/>
        </w:rPr>
      </w:pPr>
      <w:r>
        <w:rPr>
          <w:rFonts w:cs="Times New Roman" w:ascii="Times New Roman" w:hAnsi="Times New Roman"/>
          <w:sz w:val="24"/>
          <w:szCs w:val="24"/>
        </w:rPr>
        <w:t xml:space="preserve">- СП31.13330.2021. Водоснабжение. Наружные сети и сооружения; </w:t>
      </w:r>
    </w:p>
    <w:p>
      <w:pPr>
        <w:pStyle w:val="Normal"/>
        <w:tabs>
          <w:tab w:val="clear" w:pos="708"/>
          <w:tab w:val="left" w:pos="1518" w:leader="none"/>
        </w:tabs>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 xml:space="preserve">- актуализированная редакция СНиП2.04.02-84, утвержденные Приказом </w:t>
      </w:r>
      <w:r>
        <w:rPr>
          <w:rFonts w:eastAsia="Times New Roman" w:cs="Times New Roman" w:ascii="Times New Roman" w:hAnsi="Times New Roman"/>
          <w:sz w:val="24"/>
          <w:szCs w:val="24"/>
          <w:lang w:eastAsia="ru-RU"/>
        </w:rPr>
        <w:t>Министерства регионального развития Российской Федерации</w:t>
      </w:r>
      <w:r>
        <w:rPr>
          <w:rFonts w:cs="Times New Roman" w:ascii="Times New Roman" w:hAnsi="Times New Roman"/>
          <w:sz w:val="24"/>
          <w:szCs w:val="24"/>
        </w:rPr>
        <w:t xml:space="preserve"> от 29.12.2011 № 635/14;</w:t>
      </w:r>
    </w:p>
    <w:p>
      <w:pPr>
        <w:pStyle w:val="Normal"/>
        <w:tabs>
          <w:tab w:val="clear" w:pos="708"/>
          <w:tab w:val="left" w:pos="1518" w:leader="none"/>
        </w:tabs>
        <w:spacing w:lineRule="auto" w:line="240" w:before="0" w:after="0"/>
        <w:ind w:firstLine="567" w:right="128"/>
        <w:jc w:val="both"/>
        <w:rPr>
          <w:rFonts w:ascii="Times New Roman" w:hAnsi="Times New Roman" w:cs="Times New Roman"/>
          <w:sz w:val="24"/>
          <w:szCs w:val="24"/>
        </w:rPr>
      </w:pPr>
      <w:r>
        <w:rPr>
          <w:rFonts w:cs="Times New Roman" w:ascii="Times New Roman" w:hAnsi="Times New Roman"/>
          <w:sz w:val="24"/>
          <w:szCs w:val="24"/>
        </w:rPr>
        <w:t>- СП32.13330.2018. Свод правил. Канализация. Наружные сети и сооружения. СНиП2.04.03-85 (с изменением № 1), утвержденные Приказом Министерства строительства и жилищно-коммунального хозяйства Российской Федерации от 25.12.2018 № 860/пр.;</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 Методические указания по расчету предельных индексов изменения размера платы граждан за коммунальные услуги, утвержденные Приказом </w:t>
      </w:r>
      <w:r>
        <w:rPr>
          <w:rFonts w:eastAsia="Times New Roman" w:cs="Times New Roman" w:ascii="Times New Roman" w:hAnsi="Times New Roman"/>
          <w:sz w:val="24"/>
          <w:szCs w:val="24"/>
          <w:lang w:eastAsia="ru-RU"/>
        </w:rPr>
        <w:t>Министерства регионального развития Российской Федерации</w:t>
      </w:r>
      <w:r>
        <w:rPr>
          <w:rFonts w:cs="Times New Roman" w:ascii="Times New Roman" w:hAnsi="Times New Roman"/>
          <w:sz w:val="24"/>
          <w:szCs w:val="24"/>
        </w:rPr>
        <w:t xml:space="preserve"> от 23.08.2010 № 378;</w:t>
      </w:r>
    </w:p>
    <w:p>
      <w:pPr>
        <w:pStyle w:val="Normal"/>
        <w:tabs>
          <w:tab w:val="clear" w:pos="708"/>
          <w:tab w:val="left" w:pos="1518" w:leader="none"/>
        </w:tabs>
        <w:spacing w:lineRule="auto" w:line="240" w:before="0" w:after="0"/>
        <w:ind w:firstLine="567" w:right="128"/>
        <w:jc w:val="both"/>
        <w:rPr>
          <w:rFonts w:ascii="Times New Roman" w:hAnsi="Times New Roman" w:cs="Times New Roman"/>
          <w:sz w:val="24"/>
          <w:szCs w:val="24"/>
        </w:rPr>
      </w:pPr>
      <w:r>
        <w:rPr>
          <w:rFonts w:cs="Times New Roman" w:ascii="Times New Roman" w:hAnsi="Times New Roman"/>
          <w:sz w:val="24"/>
          <w:szCs w:val="24"/>
        </w:rPr>
        <w:t>- Правила предоставления субсидий на оплату жилого помещения и коммунальных услуг, утвержденные Постановлением Правительства Российской Федерации от 14.12.2005 № 761 «О предоставлении субсидий на оплату жилого помещения и коммунальных услуг».</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2835" w:leader="none"/>
          <w:tab w:val="left" w:pos="3261" w:leader="none"/>
        </w:tabs>
        <w:spacing w:lineRule="auto" w:line="240" w:before="0" w:after="0"/>
        <w:ind w:left="0"/>
        <w:contextualSpacing/>
        <w:jc w:val="center"/>
        <w:rPr>
          <w:rFonts w:ascii="Times New Roman" w:hAnsi="Times New Roman" w:cs="Times New Roman"/>
          <w:sz w:val="24"/>
          <w:szCs w:val="24"/>
        </w:rPr>
      </w:pPr>
      <w:r>
        <w:rPr>
          <w:rFonts w:cs="Times New Roman" w:ascii="Times New Roman" w:hAnsi="Times New Roman"/>
          <w:sz w:val="24"/>
          <w:szCs w:val="24"/>
        </w:rPr>
        <w:t>1. ПАСПОРТ ПРОГРАММЫ</w:t>
      </w:r>
    </w:p>
    <w:p>
      <w:pPr>
        <w:pStyle w:val="Normal"/>
        <w:tabs>
          <w:tab w:val="clear" w:pos="708"/>
          <w:tab w:val="left" w:pos="3510" w:leader="none"/>
        </w:tabs>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ind w:firstLine="567"/>
        <w:jc w:val="center"/>
        <w:rPr>
          <w:rFonts w:ascii="Times New Roman" w:hAnsi="Times New Roman" w:eastAsia="Times New Roman" w:cs="Times New Roman"/>
          <w:sz w:val="24"/>
          <w:szCs w:val="24"/>
          <w:lang w:bidi="en-US"/>
        </w:rPr>
      </w:pPr>
      <w:r>
        <w:rPr>
          <w:rFonts w:cs="Times New Roman" w:ascii="Times New Roman" w:hAnsi="Times New Roman"/>
          <w:sz w:val="24"/>
          <w:szCs w:val="24"/>
        </w:rPr>
        <w:t>КОМПЛЕКСНОЕ РАЗВИТИЕ СИСТЕМ КОММУНАЛЬНОЙ ИНФРАСТРУКТУРЫ</w:t>
      </w:r>
      <w:r>
        <w:rPr>
          <w:rFonts w:eastAsia="Times New Roman" w:cs="Times New Roman" w:ascii="Times New Roman" w:hAnsi="Times New Roman"/>
          <w:sz w:val="24"/>
          <w:szCs w:val="24"/>
          <w:lang w:bidi="en-US"/>
        </w:rPr>
        <w:t xml:space="preserve"> ТУРКМЕНСКОГО МУНИЦИПАЛЬНОГО ОКРУГА СТАВРОПОЛЬСКОГО КРАЯ</w:t>
      </w:r>
    </w:p>
    <w:p>
      <w:pPr>
        <w:pStyle w:val="Normal"/>
        <w:spacing w:lineRule="auto" w:line="240" w:before="0" w:after="0"/>
        <w:ind w:firstLine="567"/>
        <w:jc w:val="center"/>
        <w:rPr>
          <w:rFonts w:ascii="Times New Roman" w:hAnsi="Times New Roman" w:eastAsia="Times New Roman" w:cs="Times New Roman"/>
          <w:sz w:val="24"/>
          <w:szCs w:val="24"/>
          <w:lang w:bidi="en-US"/>
        </w:rPr>
      </w:pPr>
      <w:r>
        <w:rPr>
          <w:rFonts w:eastAsia="Times New Roman" w:cs="Times New Roman" w:ascii="Times New Roman" w:hAnsi="Times New Roman"/>
          <w:sz w:val="24"/>
          <w:szCs w:val="24"/>
          <w:lang w:bidi="en-US"/>
        </w:rPr>
        <w:t>ДО 2041 ГОДА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339" w:type="dxa"/>
        <w:tblLayout w:type="fixed"/>
        <w:tblCellMar>
          <w:top w:w="0" w:type="dxa"/>
          <w:left w:w="108" w:type="dxa"/>
          <w:bottom w:w="0" w:type="dxa"/>
          <w:right w:w="108" w:type="dxa"/>
        </w:tblCellMar>
        <w:tblLook w:val="04a0"/>
      </w:tblPr>
      <w:tblGrid>
        <w:gridCol w:w="3154"/>
        <w:gridCol w:w="6199"/>
      </w:tblGrid>
      <w:tr>
        <w:trPr>
          <w:trHeight w:val="872" w:hRule="atLeast"/>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Наименование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программа «Комплексное развитие систем коммунальной инфраструктуры Туркменского муниципального округа Ставропольского края до 2041 года для обеспечения муниципальных нужд Туркменского муниципального округа Ставропольского края» (далее - Программа)</w:t>
            </w:r>
          </w:p>
        </w:tc>
      </w:tr>
      <w:tr>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Основание для разработки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20"/>
                <w:szCs w:val="20"/>
              </w:rPr>
            </w:pPr>
            <w:r>
              <w:rPr>
                <w:rFonts w:cs="Times New Roman" w:ascii="Times New Roman" w:hAnsi="Times New Roman"/>
                <w:sz w:val="20"/>
                <w:szCs w:val="20"/>
              </w:rPr>
              <w:t>- Градостроительный Кодекс Российской Федерации;</w:t>
            </w:r>
          </w:p>
          <w:p>
            <w:pPr>
              <w:pStyle w:val="Normal"/>
              <w:spacing w:lineRule="auto" w:line="240" w:before="0" w:after="0"/>
              <w:jc w:val="both"/>
              <w:rPr>
                <w:sz w:val="20"/>
                <w:szCs w:val="20"/>
              </w:rPr>
            </w:pPr>
            <w:r>
              <w:rPr>
                <w:rFonts w:cs="Times New Roman" w:ascii="Times New Roman" w:hAnsi="Times New Roman"/>
                <w:sz w:val="20"/>
                <w:szCs w:val="20"/>
              </w:rPr>
              <w:t>Федеральный закон от 06.10.2023 № 131-ФЗ «Об общих принципах организации местного самоуправления в Российской Федерации»;</w:t>
            </w:r>
          </w:p>
          <w:p>
            <w:pPr>
              <w:pStyle w:val="Normal"/>
              <w:tabs>
                <w:tab w:val="clear" w:pos="708"/>
                <w:tab w:val="left" w:pos="1518" w:leader="none"/>
              </w:tabs>
              <w:spacing w:lineRule="auto" w:line="240" w:before="0" w:after="0"/>
              <w:ind w:firstLine="19" w:right="127"/>
              <w:jc w:val="both"/>
              <w:rPr/>
            </w:pPr>
            <w:r>
              <w:rPr>
                <w:rFonts w:cs="Times New Roman" w:ascii="Times New Roman" w:hAnsi="Times New Roman"/>
                <w:sz w:val="20"/>
                <w:szCs w:val="20"/>
              </w:rPr>
              <w:t xml:space="preserve">Федеральный закон от 20.03.2025 № 33-ФЗ </w:t>
            </w:r>
            <w:hyperlink r:id="rId5" w:tgtFrame="_blank">
              <w:r>
                <w:rPr>
                  <w:rStyle w:val="Hyperlink"/>
                  <w:rFonts w:cs="Times New Roman" w:ascii="Times New Roman" w:hAnsi="Times New Roman"/>
                  <w:color w:val="auto"/>
                  <w:sz w:val="20"/>
                  <w:szCs w:val="20"/>
                  <w:u w:val="none"/>
                </w:rPr>
                <w:t>«Об общих принципах организации местного самоуправления в единой системе публичной власти</w:t>
              </w:r>
            </w:hyperlink>
            <w:r>
              <w:rPr>
                <w:rFonts w:cs="Times New Roman" w:ascii="Times New Roman" w:hAnsi="Times New Roman"/>
                <w:sz w:val="20"/>
                <w:szCs w:val="20"/>
              </w:rPr>
              <w:t>»;</w:t>
            </w:r>
          </w:p>
          <w:p>
            <w:pPr>
              <w:pStyle w:val="Normal"/>
              <w:spacing w:lineRule="auto" w:line="240" w:before="0" w:after="0"/>
              <w:jc w:val="both"/>
              <w:rPr>
                <w:sz w:val="20"/>
                <w:szCs w:val="20"/>
              </w:rPr>
            </w:pPr>
            <w:r>
              <w:rPr>
                <w:rFonts w:cs="Times New Roman" w:ascii="Times New Roman" w:hAnsi="Times New Roman"/>
                <w:sz w:val="20"/>
                <w:szCs w:val="20"/>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Normal"/>
              <w:spacing w:lineRule="auto" w:line="240" w:before="0" w:after="0"/>
              <w:jc w:val="both"/>
              <w:rPr>
                <w:sz w:val="20"/>
                <w:szCs w:val="20"/>
              </w:rPr>
            </w:pPr>
            <w:r>
              <w:rPr>
                <w:rFonts w:cs="Times New Roman" w:ascii="Times New Roman" w:hAnsi="Times New Roman"/>
                <w:sz w:val="20"/>
                <w:szCs w:val="20"/>
              </w:rPr>
              <w:t>Федеральный закон от 27.07.2010 № 190-ФЗ «О теплоснабжении»;</w:t>
            </w:r>
          </w:p>
          <w:p>
            <w:pPr>
              <w:pStyle w:val="Normal"/>
              <w:spacing w:lineRule="auto" w:line="240" w:before="0" w:after="0"/>
              <w:jc w:val="both"/>
              <w:rPr>
                <w:sz w:val="20"/>
                <w:szCs w:val="20"/>
              </w:rPr>
            </w:pPr>
            <w:r>
              <w:rPr>
                <w:rFonts w:cs="Times New Roman" w:ascii="Times New Roman" w:hAnsi="Times New Roman"/>
                <w:sz w:val="20"/>
                <w:szCs w:val="20"/>
              </w:rPr>
              <w:t>Федеральный закон от 07.12.2011 № 416-Фз «О водоснабжении и водоотведении»;</w:t>
            </w:r>
          </w:p>
          <w:p>
            <w:pPr>
              <w:pStyle w:val="Normal"/>
              <w:spacing w:lineRule="auto" w:line="240" w:before="0" w:after="0"/>
              <w:jc w:val="both"/>
              <w:rPr>
                <w:sz w:val="20"/>
                <w:szCs w:val="20"/>
              </w:rPr>
            </w:pPr>
            <w:r>
              <w:rPr>
                <w:rFonts w:cs="Times New Roman" w:ascii="Times New Roman" w:hAnsi="Times New Roman"/>
                <w:sz w:val="20"/>
                <w:szCs w:val="20"/>
              </w:rPr>
              <w:t>Постановление Правительства Российской Федерации от 14.07.2013 № 502 «Об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p>
          <w:p>
            <w:pPr>
              <w:pStyle w:val="Normal"/>
              <w:spacing w:lineRule="auto" w:line="240" w:before="0" w:after="0"/>
              <w:jc w:val="both"/>
              <w:rPr>
                <w:sz w:val="20"/>
                <w:szCs w:val="20"/>
              </w:rPr>
            </w:pPr>
            <w:r>
              <w:rPr>
                <w:rFonts w:cs="Times New Roman" w:ascii="Times New Roman" w:hAnsi="Times New Roman"/>
                <w:sz w:val="20"/>
                <w:szCs w:val="20"/>
              </w:rPr>
              <w:t>Приказ Министерства регионального развития РФ от 06.05.2011 № 204 «О разработке программ комплексного развития систем коммунальной инфраструктуры муниципальных образований»</w:t>
            </w:r>
          </w:p>
        </w:tc>
      </w:tr>
      <w:tr>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Муниципальный заказчик, координатор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Администрация Туркменского муниципального округа Ставропольского края</w:t>
            </w:r>
          </w:p>
        </w:tc>
      </w:tr>
      <w:tr>
        <w:trPr>
          <w:trHeight w:val="441" w:hRule="atLeast"/>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Разработчик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Общество с ограниченной ответственностью «Северо-Кавказский градостроительный центр».</w:t>
            </w:r>
          </w:p>
        </w:tc>
      </w:tr>
      <w:tr>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Цель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Создание условий для повышения надежности, энергоэффективности и развития систем коммунальной инфраструктуры, объектов, используемых для утилизации, обезвреживания и захоронения твердых бытовых отходов, улучшения качества коммунальных услуг с одновременным снижением нерациональных затрат, повышения уровня благоустройства Туркменского муниципального округа</w:t>
            </w:r>
          </w:p>
        </w:tc>
      </w:tr>
      <w:tr>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Задачи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1. Строительство новых, реконструкция и модернизация существующих объектов системы коммунальной инфраструктуры округа с применением передовых технологий.</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2. Снижение уровня износа системы теплоснабжения, электроснабжения, газоснабжения, водоснабжения и водоотведения округа.</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3. Снижение эксплуатационных затрат и стоимости коммунальных услуг на территории округа.</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4. Обеспечение эффективного привлечения и освоения инвестиционных ресурсов в округе.</w:t>
            </w:r>
          </w:p>
        </w:tc>
      </w:tr>
      <w:tr>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Сроки реализации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2026-2041 годы</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Этапы реализации программы:</w:t>
            </w:r>
          </w:p>
          <w:p>
            <w:pPr>
              <w:pStyle w:val="Bodytext21"/>
              <w:shd w:val="clear" w:color="auto" w:fill="auto"/>
              <w:tabs>
                <w:tab w:val="clear" w:pos="708"/>
                <w:tab w:val="left" w:pos="158" w:leader="none"/>
              </w:tabs>
              <w:spacing w:lineRule="auto" w:line="240" w:before="0" w:after="0"/>
              <w:ind w:hanging="0"/>
              <w:jc w:val="both"/>
              <w:rPr>
                <w:sz w:val="20"/>
                <w:szCs w:val="20"/>
              </w:rPr>
            </w:pPr>
            <w:r>
              <w:rPr>
                <w:sz w:val="20"/>
                <w:szCs w:val="20"/>
              </w:rPr>
              <w:t>1 этап - 2026- 2035 годы;</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2 этап - 2035 - 2041 годы.</w:t>
            </w:r>
          </w:p>
        </w:tc>
      </w:tr>
      <w:tr>
        <w:trPr>
          <w:trHeight w:val="2316" w:hRule="atLeast"/>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Прогнозируемые объемы и источники финансирования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Финансовое обеспечение мероприятий программы осуществляется за счет средств федерального, краевого бюджетов, инвестиционных программ ресурсоснабжающих предприятий и иных инвестиций. Финансовые затраты на реализацию Программы до 2041 годы составляют –8 259 382,00 руб., в том числе:</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Водоснабжение –53 275,60 руб.;</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Водоотведение - 68 306,40 руб.;</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Газоснабжение – 2 671 900,00 руб.;</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Теплоснабжение – 5 000 000,00 руб.;</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lang w:bidi="ru-RU"/>
              </w:rPr>
              <w:t>Электроснабжение – 465 900,00 руб.;</w:t>
            </w:r>
          </w:p>
          <w:p>
            <w:pPr>
              <w:pStyle w:val="Normal"/>
              <w:spacing w:lineRule="auto" w:line="240" w:before="0" w:after="160"/>
              <w:jc w:val="both"/>
              <w:rPr>
                <w:rFonts w:ascii="Times New Roman" w:hAnsi="Times New Roman" w:cs="Times New Roman"/>
                <w:sz w:val="20"/>
                <w:szCs w:val="20"/>
                <w:lang w:bidi="ru-RU"/>
              </w:rPr>
            </w:pPr>
            <w:r>
              <w:rPr>
                <w:rFonts w:cs="Times New Roman" w:ascii="Times New Roman" w:hAnsi="Times New Roman"/>
                <w:sz w:val="20"/>
                <w:szCs w:val="20"/>
                <w:lang w:bidi="ru-RU"/>
              </w:rPr>
              <w:t>Сбор и вывоз ТКО – данные отсутствуют.</w:t>
            </w:r>
          </w:p>
        </w:tc>
      </w:tr>
      <w:tr>
        <w:trPr>
          <w:trHeight w:val="588" w:hRule="atLeast"/>
        </w:trPr>
        <w:tc>
          <w:tcPr>
            <w:tcW w:w="31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Ожидаемые результаты реализации программы</w:t>
            </w:r>
          </w:p>
        </w:tc>
        <w:tc>
          <w:tcPr>
            <w:tcW w:w="61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Ожидаемыми результатами системы коммунальной инфраструктуры Туркменского муниципального округа, обеспечивающей предоставление качественных коммунальных услуг, отвечающих экологическим требованиям и потребностям жилищного строительства. Кроме того, в результате реализации Программы должны быть обеспечены:</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комфортность условий проживания населения;</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надежность работы инженерных систем;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финансовое оздоровление организации жилищно-коммунального комплекса.</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Эффективность реализации Программы существенно возрастет при условии включения ряда объектов в федеральные и областные программы и привлечении частных инвестиций в сферу жилищно-коммунального хозяйства.</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Технологическими результатами реализации мероприятий Программы комплексного развития предполагается:</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повышение надежности работы системы коммунальной инфраструктуры;</w:t>
            </w:r>
          </w:p>
          <w:p>
            <w:pPr>
              <w:pStyle w:val="Normal"/>
              <w:spacing w:lineRule="auto" w:line="240" w:before="0" w:after="0"/>
              <w:jc w:val="both"/>
              <w:rPr>
                <w:rFonts w:ascii="Times New Roman" w:hAnsi="Times New Roman" w:cs="Times New Roman"/>
                <w:sz w:val="20"/>
                <w:szCs w:val="20"/>
                <w:lang w:bidi="ru-RU"/>
              </w:rPr>
            </w:pPr>
            <w:r>
              <w:rPr>
                <w:rFonts w:cs="Times New Roman" w:ascii="Times New Roman" w:hAnsi="Times New Roman"/>
                <w:sz w:val="20"/>
                <w:szCs w:val="20"/>
              </w:rPr>
              <w:t>- снижение потерь коммунальных ресурсов в производственном процессе.</w:t>
            </w:r>
          </w:p>
        </w:tc>
      </w:tr>
    </w:tbl>
    <w:p>
      <w:pPr>
        <w:pStyle w:val="Normal"/>
        <w:spacing w:lineRule="auto" w:line="240" w:before="0" w:after="0"/>
        <w:jc w:val="center"/>
        <w:rPr>
          <w:rFonts w:ascii="Times New Roman" w:hAnsi="Times New Roman" w:cs="Times New Roman"/>
          <w:b/>
          <w:sz w:val="24"/>
        </w:rPr>
      </w:pPr>
      <w:r>
        <w:rPr>
          <w:rFonts w:cs="Times New Roman" w:ascii="Times New Roman" w:hAnsi="Times New Roman"/>
          <w:b/>
          <w:sz w:val="24"/>
        </w:rPr>
      </w:r>
    </w:p>
    <w:p>
      <w:pPr>
        <w:pStyle w:val="Normal"/>
        <w:spacing w:lineRule="auto" w:line="240" w:before="0" w:after="0"/>
        <w:ind w:firstLine="567"/>
        <w:jc w:val="center"/>
        <w:rPr>
          <w:rFonts w:ascii="Times New Roman" w:hAnsi="Times New Roman" w:cs="Times New Roman"/>
          <w:sz w:val="24"/>
        </w:rPr>
      </w:pPr>
      <w:r>
        <w:rPr>
          <w:rFonts w:cs="Times New Roman" w:ascii="Times New Roman" w:hAnsi="Times New Roman"/>
          <w:sz w:val="24"/>
        </w:rPr>
        <w:t>2. ХАРАКТЕРИСТИКА СУЩЕСТВУЮЩЕГО СОСТОЯНИЯ СИСТЕМ КОММУНАЛЬНОЙ ИНФРАСТРУКТУРЫ</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Согласно Градостроительному кодексу РФ, система коммунальной инфраструктуры это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утилизации, обезвреживания и захоронения твердых коммунальных отходов.</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Коммунальная инфраструктура Туркменского муниципального округа представлена следующими системами:</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система электроснабжения;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система газоснабжения;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система водоснабжения;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система водоотведения;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система теплоснабжения;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-система утилизации, обезвреживания и захоронения твердых коммунальных отходов.</w:t>
      </w:r>
    </w:p>
    <w:p>
      <w:pPr>
        <w:pStyle w:val="Normal"/>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Таблица 1.</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Структура производства и сбыта коммунальных ресурсов в Туркменском муниципальном округе Ставропольского края</w:t>
      </w:r>
    </w:p>
    <w:p>
      <w:pPr>
        <w:pStyle w:val="Normal"/>
        <w:spacing w:lineRule="auto" w:line="240" w:before="0" w:after="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r>
    </w:p>
    <w:tbl>
      <w:tblPr>
        <w:tblW w:w="9517" w:type="dxa"/>
        <w:jc w:val="left"/>
        <w:tblInd w:w="147" w:type="dxa"/>
        <w:tblLayout w:type="fixed"/>
        <w:tblCellMar>
          <w:top w:w="0" w:type="dxa"/>
          <w:left w:w="5" w:type="dxa"/>
          <w:bottom w:w="0" w:type="dxa"/>
          <w:right w:w="5" w:type="dxa"/>
        </w:tblCellMar>
        <w:tblLook w:val="04a0"/>
      </w:tblPr>
      <w:tblGrid>
        <w:gridCol w:w="2005"/>
        <w:gridCol w:w="3685"/>
        <w:gridCol w:w="3827"/>
      </w:tblGrid>
      <w:tr>
        <w:trPr>
          <w:trHeight w:val="287"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Ресурс, услуга</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8"/>
              <w:jc w:val="center"/>
              <w:rPr>
                <w:rFonts w:ascii="Times New Roman" w:hAnsi="Times New Roman" w:cs="Times New Roman"/>
                <w:spacing w:val="-2"/>
                <w:sz w:val="20"/>
                <w:szCs w:val="20"/>
              </w:rPr>
            </w:pPr>
            <w:r>
              <w:rPr>
                <w:rFonts w:cs="Times New Roman" w:ascii="Times New Roman" w:hAnsi="Times New Roman"/>
                <w:sz w:val="20"/>
                <w:szCs w:val="20"/>
              </w:rPr>
              <w:t>Организация–поставщик р</w:t>
            </w:r>
            <w:r>
              <w:rPr>
                <w:rFonts w:cs="Times New Roman" w:ascii="Times New Roman" w:hAnsi="Times New Roman"/>
                <w:spacing w:val="-2"/>
                <w:sz w:val="20"/>
                <w:szCs w:val="20"/>
              </w:rPr>
              <w:t>есурса</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 w:right="113"/>
              <w:jc w:val="center"/>
              <w:rPr>
                <w:rFonts w:ascii="Times New Roman" w:hAnsi="Times New Roman" w:cs="Times New Roman"/>
                <w:spacing w:val="-2"/>
                <w:sz w:val="20"/>
                <w:szCs w:val="20"/>
              </w:rPr>
            </w:pPr>
            <w:r>
              <w:rPr>
                <w:rFonts w:cs="Times New Roman" w:ascii="Times New Roman" w:hAnsi="Times New Roman"/>
                <w:spacing w:val="-2"/>
                <w:sz w:val="20"/>
                <w:szCs w:val="20"/>
              </w:rPr>
              <w:t>Адрес</w:t>
            </w:r>
          </w:p>
        </w:tc>
      </w:tr>
      <w:tr>
        <w:trPr>
          <w:trHeight w:val="287"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8"/>
              <w:jc w:val="center"/>
              <w:rPr>
                <w:rFonts w:ascii="Times New Roman" w:hAnsi="Times New Roman" w:cs="Times New Roman"/>
                <w:sz w:val="20"/>
                <w:szCs w:val="20"/>
              </w:rPr>
            </w:pPr>
            <w:r>
              <w:rPr>
                <w:rFonts w:cs="Times New Roman" w:ascii="Times New Roman" w:hAnsi="Times New Roman"/>
                <w:sz w:val="20"/>
                <w:szCs w:val="20"/>
              </w:rPr>
              <w:t>2</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 w:right="113"/>
              <w:jc w:val="center"/>
              <w:rPr>
                <w:rFonts w:ascii="Times New Roman" w:hAnsi="Times New Roman" w:cs="Times New Roman"/>
                <w:spacing w:val="-2"/>
                <w:sz w:val="20"/>
                <w:szCs w:val="20"/>
              </w:rPr>
            </w:pPr>
            <w:r>
              <w:rPr>
                <w:rFonts w:cs="Times New Roman" w:ascii="Times New Roman" w:hAnsi="Times New Roman"/>
                <w:spacing w:val="-2"/>
                <w:sz w:val="20"/>
                <w:szCs w:val="20"/>
              </w:rPr>
              <w:t>3</w:t>
            </w:r>
          </w:p>
        </w:tc>
      </w:tr>
      <w:tr>
        <w:trPr>
          <w:trHeight w:val="274" w:hRule="atLeast"/>
        </w:trPr>
        <w:tc>
          <w:tcPr>
            <w:tcW w:w="200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both"/>
              <w:rPr>
                <w:rFonts w:ascii="Times New Roman" w:hAnsi="Times New Roman" w:cs="Times New Roman"/>
                <w:spacing w:val="-2"/>
                <w:sz w:val="20"/>
                <w:szCs w:val="20"/>
              </w:rPr>
            </w:pPr>
            <w:r>
              <w:rPr>
                <w:rFonts w:cs="Times New Roman" w:ascii="Times New Roman" w:hAnsi="Times New Roman"/>
                <w:spacing w:val="-2"/>
                <w:sz w:val="20"/>
                <w:szCs w:val="20"/>
              </w:rPr>
              <w:t>Электроснабжение</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6" w:right="15"/>
              <w:jc w:val="both"/>
              <w:rPr>
                <w:rFonts w:ascii="Times New Roman" w:hAnsi="Times New Roman" w:cs="Times New Roman"/>
                <w:spacing w:val="-2"/>
                <w:sz w:val="20"/>
                <w:szCs w:val="20"/>
              </w:rPr>
            </w:pPr>
            <w:r>
              <w:rPr>
                <w:rFonts w:cs="Times New Roman" w:ascii="Times New Roman" w:hAnsi="Times New Roman"/>
                <w:spacing w:val="-2"/>
                <w:sz w:val="20"/>
                <w:szCs w:val="20"/>
              </w:rPr>
              <w:t>Участок с. Летняя Ставка филиала акционерного общества</w:t>
            </w:r>
          </w:p>
          <w:p>
            <w:pPr>
              <w:pStyle w:val="Normal"/>
              <w:spacing w:lineRule="auto" w:line="240" w:before="0" w:after="0"/>
              <w:ind w:left="126" w:right="15"/>
              <w:jc w:val="both"/>
              <w:rPr>
                <w:rFonts w:ascii="Times New Roman" w:hAnsi="Times New Roman" w:cs="Times New Roman"/>
                <w:spacing w:val="-2"/>
                <w:sz w:val="20"/>
                <w:szCs w:val="20"/>
              </w:rPr>
            </w:pPr>
            <w:r>
              <w:rPr>
                <w:rFonts w:cs="Times New Roman" w:ascii="Times New Roman" w:hAnsi="Times New Roman"/>
                <w:spacing w:val="-2"/>
                <w:sz w:val="20"/>
                <w:szCs w:val="20"/>
              </w:rPr>
              <w:t>«Ставэлектросеть» г. Светлоград;</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57" w:right="2"/>
              <w:jc w:val="both"/>
              <w:rPr>
                <w:rFonts w:ascii="Times New Roman" w:hAnsi="Times New Roman" w:cs="Times New Roman"/>
                <w:sz w:val="20"/>
                <w:szCs w:val="20"/>
              </w:rPr>
            </w:pPr>
            <w:r>
              <w:rPr>
                <w:rFonts w:cs="Times New Roman" w:ascii="Times New Roman" w:hAnsi="Times New Roman"/>
                <w:sz w:val="20"/>
                <w:szCs w:val="20"/>
              </w:rPr>
              <w:t>356540, Ставропольский край, Туркменский район, с. Летняя Ставка,  пер. Почтовый, 4а</w:t>
            </w:r>
          </w:p>
        </w:tc>
      </w:tr>
      <w:tr>
        <w:trPr>
          <w:trHeight w:val="410" w:hRule="atLeast"/>
        </w:trPr>
        <w:tc>
          <w:tcPr>
            <w:tcW w:w="2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0"/>
                <w:szCs w:val="20"/>
              </w:rPr>
            </w:pPr>
            <w:r>
              <w:rPr>
                <w:sz w:val="20"/>
                <w:szCs w:val="20"/>
              </w:rPr>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6" w:right="15"/>
              <w:jc w:val="both"/>
              <w:rPr>
                <w:rFonts w:ascii="Times New Roman" w:hAnsi="Times New Roman" w:cs="Times New Roman"/>
                <w:spacing w:val="-2"/>
                <w:sz w:val="20"/>
                <w:szCs w:val="20"/>
              </w:rPr>
            </w:pPr>
            <w:r>
              <w:rPr>
                <w:rFonts w:cs="Times New Roman" w:ascii="Times New Roman" w:hAnsi="Times New Roman"/>
                <w:spacing w:val="-2"/>
                <w:sz w:val="20"/>
                <w:szCs w:val="20"/>
              </w:rPr>
              <w:t>Туркменские районные электрические сети структурное подразделение Светлоградских электрических сетей Филиала ПАО «Россети Северный Кавказ»-«Ставропольэнерго»</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57" w:right="2"/>
              <w:jc w:val="both"/>
              <w:rPr>
                <w:rFonts w:ascii="Times New Roman" w:hAnsi="Times New Roman" w:cs="Times New Roman"/>
                <w:sz w:val="20"/>
                <w:szCs w:val="20"/>
              </w:rPr>
            </w:pPr>
            <w:r>
              <w:rPr>
                <w:rFonts w:cs="Times New Roman" w:ascii="Times New Roman" w:hAnsi="Times New Roman"/>
                <w:sz w:val="20"/>
                <w:szCs w:val="20"/>
              </w:rPr>
              <w:t>356540, Ставропольский край, Туркменский район, с. Летняя Ставка, ул. Сафиуллаева,2</w:t>
            </w:r>
          </w:p>
        </w:tc>
      </w:tr>
      <w:tr>
        <w:trPr>
          <w:trHeight w:val="760"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jc w:val="both"/>
              <w:rPr>
                <w:rFonts w:ascii="Times New Roman" w:hAnsi="Times New Roman" w:cs="Times New Roman"/>
                <w:spacing w:val="-2"/>
                <w:sz w:val="20"/>
                <w:szCs w:val="20"/>
              </w:rPr>
            </w:pPr>
            <w:r>
              <w:rPr>
                <w:rFonts w:cs="Times New Roman" w:ascii="Times New Roman" w:hAnsi="Times New Roman"/>
                <w:spacing w:val="-2"/>
                <w:sz w:val="20"/>
                <w:szCs w:val="20"/>
              </w:rPr>
              <w:t>Теплоснабжение</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26" w:right="78"/>
              <w:jc w:val="both"/>
              <w:rPr>
                <w:rFonts w:ascii="Times New Roman" w:hAnsi="Times New Roman" w:cs="Times New Roman"/>
                <w:spacing w:val="-2"/>
                <w:sz w:val="20"/>
                <w:szCs w:val="20"/>
              </w:rPr>
            </w:pPr>
            <w:r>
              <w:rPr>
                <w:rFonts w:cs="Times New Roman" w:ascii="Times New Roman" w:hAnsi="Times New Roman"/>
                <w:sz w:val="20"/>
                <w:szCs w:val="20"/>
              </w:rPr>
              <w:t>Общество с ограниченной ответственностью «Коммунальное хозяйство» Туркменского муниципального района Ставропольского края</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8" w:after="0"/>
              <w:ind w:left="157" w:right="2"/>
              <w:jc w:val="both"/>
              <w:rPr>
                <w:rFonts w:ascii="Times New Roman" w:hAnsi="Times New Roman" w:cs="Times New Roman"/>
                <w:sz w:val="20"/>
                <w:szCs w:val="20"/>
              </w:rPr>
            </w:pPr>
            <w:r>
              <w:rPr>
                <w:rFonts w:cs="Times New Roman" w:ascii="Times New Roman" w:hAnsi="Times New Roman"/>
                <w:sz w:val="20"/>
                <w:szCs w:val="20"/>
              </w:rPr>
              <w:t>356540, Ставропольский край, Туркменский район, с. Летняя Ставка, ул. Аэродромная, ЗА</w:t>
            </w:r>
          </w:p>
        </w:tc>
      </w:tr>
      <w:tr>
        <w:trPr>
          <w:trHeight w:val="539" w:hRule="atLeast"/>
        </w:trPr>
        <w:tc>
          <w:tcPr>
            <w:tcW w:w="200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right="258"/>
              <w:jc w:val="both"/>
              <w:rPr>
                <w:rFonts w:ascii="Times New Roman" w:hAnsi="Times New Roman" w:cs="Times New Roman"/>
                <w:spacing w:val="-2"/>
                <w:sz w:val="20"/>
                <w:szCs w:val="20"/>
              </w:rPr>
            </w:pPr>
            <w:r>
              <w:rPr>
                <w:rFonts w:cs="Times New Roman" w:ascii="Times New Roman" w:hAnsi="Times New Roman"/>
                <w:spacing w:val="-2"/>
                <w:sz w:val="20"/>
                <w:szCs w:val="20"/>
              </w:rPr>
              <w:t>Водоснабжение</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6" w:right="14"/>
              <w:jc w:val="both"/>
              <w:rPr>
                <w:rFonts w:ascii="Times New Roman" w:hAnsi="Times New Roman" w:cs="Times New Roman"/>
                <w:spacing w:val="-2"/>
                <w:sz w:val="20"/>
                <w:szCs w:val="20"/>
              </w:rPr>
            </w:pPr>
            <w:r>
              <w:rPr>
                <w:rFonts w:cs="Times New Roman" w:ascii="Times New Roman" w:hAnsi="Times New Roman"/>
                <w:spacing w:val="-2"/>
                <w:sz w:val="20"/>
                <w:szCs w:val="20"/>
              </w:rPr>
              <w:t>Филиал ГУП СК «Ставрополькрайводоканал» - «Северный» ПТП Ипатовское</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57" w:right="2"/>
              <w:jc w:val="both"/>
              <w:rPr>
                <w:rFonts w:ascii="Times New Roman" w:hAnsi="Times New Roman" w:cs="Times New Roman"/>
                <w:sz w:val="20"/>
                <w:szCs w:val="20"/>
              </w:rPr>
            </w:pPr>
            <w:r>
              <w:rPr>
                <w:rFonts w:cs="Times New Roman" w:ascii="Times New Roman" w:hAnsi="Times New Roman"/>
                <w:sz w:val="20"/>
                <w:szCs w:val="20"/>
              </w:rPr>
              <w:t>356630, Ставропольский край,</w:t>
            </w:r>
          </w:p>
          <w:p>
            <w:pPr>
              <w:pStyle w:val="Normal"/>
              <w:spacing w:lineRule="auto" w:line="240" w:before="1" w:after="0"/>
              <w:ind w:left="157" w:right="2"/>
              <w:jc w:val="both"/>
              <w:rPr>
                <w:rFonts w:ascii="Times New Roman" w:hAnsi="Times New Roman" w:cs="Times New Roman"/>
                <w:sz w:val="20"/>
                <w:szCs w:val="20"/>
              </w:rPr>
            </w:pPr>
            <w:r>
              <w:rPr>
                <w:rFonts w:cs="Times New Roman" w:ascii="Times New Roman" w:hAnsi="Times New Roman"/>
                <w:sz w:val="20"/>
                <w:szCs w:val="20"/>
              </w:rPr>
              <w:t>г. Ипатово, ул. Чапаева, 14.</w:t>
            </w:r>
          </w:p>
        </w:tc>
      </w:tr>
      <w:tr>
        <w:trPr>
          <w:trHeight w:val="556" w:hRule="atLeast"/>
        </w:trPr>
        <w:tc>
          <w:tcPr>
            <w:tcW w:w="2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6"/>
              <w:jc w:val="both"/>
              <w:rPr>
                <w:rFonts w:ascii="Times New Roman" w:hAnsi="Times New Roman" w:cs="Times New Roman"/>
                <w:sz w:val="20"/>
                <w:szCs w:val="20"/>
              </w:rPr>
            </w:pPr>
            <w:r>
              <w:rPr>
                <w:rFonts w:cs="Times New Roman" w:ascii="Times New Roman" w:hAnsi="Times New Roman"/>
                <w:sz w:val="20"/>
                <w:szCs w:val="20"/>
              </w:rPr>
              <w:t>Филиал ГУП СК «Ставрополькрайводоканал» производственно-техническое подразделение Благодарненское-«Северный»</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7" w:right="2"/>
              <w:jc w:val="both"/>
              <w:rPr>
                <w:rFonts w:ascii="Times New Roman" w:hAnsi="Times New Roman" w:cs="Times New Roman"/>
                <w:sz w:val="20"/>
                <w:szCs w:val="20"/>
              </w:rPr>
            </w:pPr>
            <w:r>
              <w:rPr>
                <w:rFonts w:cs="Times New Roman" w:ascii="Times New Roman" w:hAnsi="Times New Roman"/>
                <w:sz w:val="20"/>
                <w:szCs w:val="20"/>
              </w:rPr>
              <w:t>356420, Ставропольский край, г.Благодарный, ул. Бедненко, 184</w:t>
            </w:r>
          </w:p>
        </w:tc>
      </w:tr>
      <w:tr>
        <w:trPr>
          <w:trHeight w:val="572"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jc w:val="both"/>
              <w:rPr>
                <w:rFonts w:ascii="Times New Roman" w:hAnsi="Times New Roman" w:cs="Times New Roman"/>
                <w:spacing w:val="-2"/>
                <w:sz w:val="20"/>
                <w:szCs w:val="20"/>
              </w:rPr>
            </w:pPr>
            <w:r>
              <w:rPr>
                <w:rFonts w:cs="Times New Roman" w:ascii="Times New Roman" w:hAnsi="Times New Roman"/>
                <w:spacing w:val="-2"/>
                <w:sz w:val="20"/>
                <w:szCs w:val="20"/>
              </w:rPr>
              <w:t>Водоотведение</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5"/>
              <w:jc w:val="both"/>
              <w:rPr>
                <w:rFonts w:ascii="Times New Roman" w:hAnsi="Times New Roman" w:cs="Times New Roman"/>
                <w:sz w:val="20"/>
                <w:szCs w:val="20"/>
              </w:rPr>
            </w:pPr>
            <w:r>
              <w:rPr>
                <w:rFonts w:cs="Times New Roman" w:ascii="Times New Roman" w:hAnsi="Times New Roman"/>
                <w:sz w:val="20"/>
                <w:szCs w:val="20"/>
              </w:rPr>
              <w:t>Муниципальное унитарное предприятие «Коммунальное хозяйство» Туркменского района</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7" w:right="2"/>
              <w:jc w:val="both"/>
              <w:rPr>
                <w:rFonts w:ascii="Times New Roman" w:hAnsi="Times New Roman" w:cs="Times New Roman"/>
                <w:sz w:val="20"/>
                <w:szCs w:val="20"/>
              </w:rPr>
            </w:pPr>
            <w:r>
              <w:rPr>
                <w:rFonts w:cs="Times New Roman" w:ascii="Times New Roman" w:hAnsi="Times New Roman"/>
                <w:sz w:val="20"/>
                <w:szCs w:val="20"/>
              </w:rPr>
              <w:t>356540, Ставропольский край,</w:t>
            </w:r>
          </w:p>
          <w:p>
            <w:pPr>
              <w:pStyle w:val="Normal"/>
              <w:spacing w:lineRule="auto" w:line="240" w:before="0" w:after="0"/>
              <w:ind w:left="157" w:right="2"/>
              <w:jc w:val="both"/>
              <w:rPr>
                <w:rFonts w:ascii="Times New Roman" w:hAnsi="Times New Roman" w:cs="Times New Roman"/>
                <w:sz w:val="20"/>
                <w:szCs w:val="20"/>
              </w:rPr>
            </w:pPr>
            <w:r>
              <w:rPr>
                <w:rFonts w:cs="Times New Roman" w:ascii="Times New Roman" w:hAnsi="Times New Roman"/>
                <w:sz w:val="20"/>
                <w:szCs w:val="20"/>
              </w:rPr>
              <w:t>Туркменский район, село Летняя Ставка,</w:t>
            </w:r>
          </w:p>
          <w:p>
            <w:pPr>
              <w:pStyle w:val="Normal"/>
              <w:spacing w:lineRule="auto" w:line="240" w:before="0" w:after="0"/>
              <w:ind w:left="157" w:right="2"/>
              <w:jc w:val="both"/>
              <w:rPr>
                <w:rFonts w:ascii="Times New Roman" w:hAnsi="Times New Roman" w:cs="Times New Roman"/>
                <w:sz w:val="20"/>
                <w:szCs w:val="20"/>
              </w:rPr>
            </w:pPr>
            <w:r>
              <w:rPr>
                <w:rFonts w:cs="Times New Roman" w:ascii="Times New Roman" w:hAnsi="Times New Roman"/>
                <w:sz w:val="20"/>
                <w:szCs w:val="20"/>
              </w:rPr>
              <w:t>ул. Аэродромная, 3А</w:t>
            </w:r>
          </w:p>
        </w:tc>
      </w:tr>
      <w:tr>
        <w:trPr>
          <w:trHeight w:val="760"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05"/>
              <w:jc w:val="both"/>
              <w:rPr>
                <w:rFonts w:ascii="Times New Roman" w:hAnsi="Times New Roman" w:cs="Times New Roman"/>
                <w:spacing w:val="-2"/>
                <w:sz w:val="20"/>
                <w:szCs w:val="20"/>
              </w:rPr>
            </w:pPr>
            <w:r>
              <w:rPr>
                <w:rFonts w:cs="Times New Roman" w:ascii="Times New Roman" w:hAnsi="Times New Roman"/>
                <w:spacing w:val="-2"/>
                <w:sz w:val="20"/>
                <w:szCs w:val="20"/>
              </w:rPr>
              <w:t>Газоснабжение</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5" w:after="0"/>
              <w:ind w:left="155" w:right="409"/>
              <w:jc w:val="both"/>
              <w:rPr>
                <w:rFonts w:ascii="Times New Roman" w:hAnsi="Times New Roman" w:cs="Times New Roman"/>
                <w:sz w:val="20"/>
                <w:szCs w:val="20"/>
              </w:rPr>
            </w:pPr>
            <w:r>
              <w:rPr>
                <w:rFonts w:cs="Times New Roman" w:ascii="Times New Roman" w:hAnsi="Times New Roman"/>
                <w:sz w:val="20"/>
                <w:szCs w:val="20"/>
              </w:rPr>
              <w:t>Акционерное общество «Туркменскрайгаз»</w:t>
            </w:r>
          </w:p>
        </w:tc>
        <w:tc>
          <w:tcPr>
            <w:tcW w:w="38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left="157" w:right="2"/>
              <w:jc w:val="both"/>
              <w:rPr>
                <w:rFonts w:ascii="Times New Roman" w:hAnsi="Times New Roman" w:cs="Times New Roman"/>
                <w:color w:val="000000"/>
                <w:w w:val="105"/>
                <w:sz w:val="20"/>
                <w:szCs w:val="20"/>
              </w:rPr>
            </w:pPr>
            <w:r>
              <w:rPr>
                <w:rFonts w:cs="Times New Roman" w:ascii="Times New Roman" w:hAnsi="Times New Roman"/>
                <w:color w:val="000000"/>
                <w:w w:val="105"/>
                <w:sz w:val="20"/>
                <w:szCs w:val="20"/>
              </w:rPr>
              <w:t>356540,Ставропольский край, Туркменский район, с. Летняя Ставка, ул. Кооперативная, 29</w:t>
            </w:r>
          </w:p>
        </w:tc>
      </w:tr>
      <w:tr>
        <w:trPr>
          <w:trHeight w:val="167" w:hRule="atLeast"/>
        </w:trPr>
        <w:tc>
          <w:tcPr>
            <w:tcW w:w="2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jc w:val="both"/>
              <w:rPr>
                <w:rFonts w:ascii="Times New Roman" w:hAnsi="Times New Roman" w:cs="Times New Roman"/>
                <w:sz w:val="20"/>
                <w:szCs w:val="20"/>
              </w:rPr>
            </w:pPr>
            <w:r>
              <w:rPr>
                <w:rFonts w:cs="Times New Roman" w:ascii="Times New Roman" w:hAnsi="Times New Roman"/>
                <w:sz w:val="20"/>
                <w:szCs w:val="20"/>
              </w:rPr>
              <w:t>Сбор и вывоз ТКО</w:t>
            </w:r>
          </w:p>
        </w:tc>
        <w:tc>
          <w:tcPr>
            <w:tcW w:w="36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5"/>
              <w:jc w:val="both"/>
              <w:rPr>
                <w:rFonts w:ascii="Times New Roman" w:hAnsi="Times New Roman" w:cs="Times New Roman"/>
                <w:sz w:val="20"/>
                <w:szCs w:val="20"/>
              </w:rPr>
            </w:pPr>
            <w:r>
              <w:rPr>
                <w:rFonts w:cs="Times New Roman" w:ascii="Times New Roman" w:hAnsi="Times New Roman"/>
                <w:sz w:val="20"/>
                <w:szCs w:val="20"/>
              </w:rPr>
              <w:t>ООО «Эко-Сити»</w:t>
            </w:r>
          </w:p>
        </w:tc>
        <w:tc>
          <w:tcPr>
            <w:tcW w:w="382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080" w:leader="none"/>
              </w:tabs>
              <w:spacing w:lineRule="auto" w:line="240" w:before="0" w:after="160"/>
              <w:ind w:left="157" w:right="2"/>
              <w:jc w:val="both"/>
              <w:rPr>
                <w:rFonts w:ascii="Times New Roman" w:hAnsi="Times New Roman" w:cs="Times New Roman"/>
                <w:sz w:val="20"/>
                <w:szCs w:val="20"/>
              </w:rPr>
            </w:pPr>
            <w:r>
              <w:rPr>
                <w:rFonts w:cs="Times New Roman" w:ascii="Times New Roman" w:hAnsi="Times New Roman"/>
                <w:color w:val="000000"/>
                <w:w w:val="105"/>
                <w:sz w:val="20"/>
                <w:szCs w:val="20"/>
              </w:rPr>
              <w:t>356540, Ставропольский край, Туркменский район,</w:t>
            </w:r>
            <w:r>
              <w:rPr>
                <w:rFonts w:cs="Times New Roman" w:ascii="Times New Roman" w:hAnsi="Times New Roman"/>
                <w:sz w:val="20"/>
                <w:szCs w:val="20"/>
              </w:rPr>
              <w:t xml:space="preserve"> с. Летняя Ставка, ул. Жижина, 8</w:t>
            </w:r>
          </w:p>
        </w:tc>
      </w:tr>
    </w:tbl>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Программа является важнейшим инструментом реализации приоритетного национального проекта «Доступное и комфортное жилье - гражданам России», определяет основные направления развития объектов теплоснабжения, газоснабжения, водоснабжения и водоотведения, объектов захоронения твердых коммунальных отходов в соответствии с потребностями промышленного, жилищного строительства, в целях повышения качества услуг и улучшения экологического состояния Туркменского муниципального округа Ставропольского края (далее – Туркменский муниципальный округ).</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Основу Программы составляет система программных мероприятий по различным направлениям развития коммунальной инфраструктуры. Данная Программа ориентирована на устойчивое развитие Туркменского муниципального округа и в полной мере соответствует государственной политике реформирования коммунального комплекса Российской Федерации.</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Ниже дана краткая характеристика систем коммунальной инфраструктуры, присутствующих на территории муниципального образования.</w:t>
      </w:r>
    </w:p>
    <w:p>
      <w:pPr>
        <w:pStyle w:val="Normal"/>
        <w:spacing w:lineRule="auto" w:line="240" w:before="0" w:after="0"/>
        <w:ind w:firstLine="567"/>
        <w:rPr>
          <w:rFonts w:ascii="Times New Roman" w:hAnsi="Times New Roman" w:eastAsia="Times New Roman" w:cs="Times New Roman"/>
          <w:sz w:val="24"/>
          <w:szCs w:val="28"/>
        </w:rPr>
      </w:pPr>
      <w:r>
        <w:rPr>
          <w:rFonts w:eastAsia="Times New Roman" w:cs="Times New Roman" w:ascii="Times New Roman" w:hAnsi="Times New Roman"/>
          <w:sz w:val="24"/>
          <w:szCs w:val="28"/>
        </w:rPr>
        <w:t>2.1. Характеристика существующего состояния систем водоснабжения</w:t>
      </w:r>
    </w:p>
    <w:p>
      <w:pPr>
        <w:pStyle w:val="Normal"/>
        <w:spacing w:lineRule="auto" w:line="240" w:before="0" w:after="0"/>
        <w:ind w:firstLine="567"/>
        <w:jc w:val="both"/>
        <w:rPr>
          <w:rFonts w:ascii="Times New Roman" w:hAnsi="Times New Roman" w:eastAsia="Times New Roman" w:cs="Times New Roman"/>
          <w:iCs/>
          <w:sz w:val="24"/>
          <w:szCs w:val="28"/>
          <w:lang w:eastAsia="ru-RU"/>
        </w:rPr>
      </w:pPr>
      <w:r>
        <w:rPr>
          <w:rFonts w:eastAsia="Times New Roman" w:cs="Times New Roman" w:ascii="Times New Roman" w:hAnsi="Times New Roman"/>
          <w:iCs/>
          <w:sz w:val="24"/>
          <w:szCs w:val="28"/>
          <w:lang w:eastAsia="ru-RU"/>
        </w:rPr>
        <w:t>В состав Туркменского муниципального округа входят 25 населенных пунктов. Все населенные пункты обеспечены централизованным водоснабжением.</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Структура системы водоснабжения зависит от многих факторов, из которых главными являются следующие: расположение, мощность, качество воды источника водоснабжения и рельеф местности.</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Водоснабжение населенных пунктов Туркменского муниципального округа обеспечивается поверхностными и подземными водами; выведенные на поверхность подземные воды - пресные, характеризуются хорошим качеством и удовлетворяют потребности населения в питьевой воде и хозяйственных нуждах.</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Туркменский муниципальный округ входит в две технологических зоны, объекты водоснабжения которого находятся в собственности администрации Туркменского муниципального округа и переданы в хозяйственное ведение ГУП Ставрополькрайводоканал ГУП СК «Ставрополькрайводоканал» - «Северный» ПТП Благодарненское.</w:t>
      </w:r>
    </w:p>
    <w:p>
      <w:pPr>
        <w:pStyle w:val="Normal"/>
        <w:spacing w:lineRule="auto" w:line="240" w:before="0" w:after="0"/>
        <w:ind w:firstLine="567"/>
        <w:jc w:val="both"/>
        <w:rPr>
          <w:rFonts w:ascii="Times New Roman" w:hAnsi="Times New Roman" w:eastAsia="Times New Roman" w:cs="Times New Roman"/>
          <w:sz w:val="24"/>
          <w:szCs w:val="28"/>
        </w:rPr>
      </w:pPr>
      <w:r>
        <w:rPr>
          <w:rFonts w:cs="Times New Roman" w:ascii="Times New Roman" w:hAnsi="Times New Roman"/>
          <w:sz w:val="24"/>
          <w:szCs w:val="28"/>
        </w:rPr>
        <w:t>ГУП СК «Ставрополькрайводоканал» является гарантирующей организацией для централизованной системы водоснабжения и водоотведения на территории Туркменского муниципального округа, также является крупнейшим поставщиком услуг, осуществляет текущее содержание и обслуживание объектов водоснабжения и водоотведения</w:t>
      </w:r>
      <w:r>
        <w:rPr>
          <w:rFonts w:eastAsia="Times New Roman" w:cs="Times New Roman" w:ascii="Times New Roman" w:hAnsi="Times New Roman"/>
          <w:sz w:val="24"/>
          <w:szCs w:val="28"/>
        </w:rPr>
        <w:t>.</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Эксплуатационная зона ГУП Ставрополькрайводоканал «Северный» - ПТП Ипатовское:</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разводящие и подводящие водопроводные сети, объединенные для хозяйственно-питьевых и противопожарных нужд, протяженностью 215 км;</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напорно-регулирующие резервуары – 7 шт.;</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насосные станции– 4 шт.;</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запорная и регулирующая арматура.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На обслуживании у ПТП Ипатовское находятся: 5 очистных сооружений водопровода с пропускной способностью 47,6 тыс. м³ в сутки, 19 насосных станций водопровода и 52 резервуара. </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Общая протяженность водопроводных сетей - 215 км, в т. ч. водоводы-127,8 км, разводящие сети-87,2 км.</w:t>
      </w:r>
    </w:p>
    <w:p>
      <w:pPr>
        <w:pStyle w:val="Normal"/>
        <w:spacing w:lineRule="auto" w:line="240" w:before="0" w:after="0"/>
        <w:ind w:firstLine="567"/>
        <w:jc w:val="both"/>
        <w:rPr>
          <w:rFonts w:ascii="Times New Roman" w:hAnsi="Times New Roman" w:cs="Times New Roman"/>
          <w:sz w:val="24"/>
          <w:szCs w:val="28"/>
        </w:rPr>
      </w:pPr>
      <w:bookmarkStart w:id="0" w:name="_Hlk224225162"/>
      <w:r>
        <w:rPr>
          <w:rFonts w:cs="Times New Roman" w:ascii="Times New Roman" w:hAnsi="Times New Roman"/>
          <w:sz w:val="24"/>
          <w:szCs w:val="28"/>
        </w:rPr>
        <w:t>Филиал ГУП СК «Ставрополькрайводоканал» «Северный» производственно-техническое подразделение Благодарненское</w:t>
      </w:r>
      <w:bookmarkEnd w:id="0"/>
      <w:r>
        <w:rPr>
          <w:rFonts w:cs="Times New Roman" w:ascii="Times New Roman" w:hAnsi="Times New Roman"/>
          <w:sz w:val="24"/>
          <w:szCs w:val="28"/>
        </w:rPr>
        <w:t xml:space="preserve"> - общая протяженность водопроводных сетей 1300,22 км.</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Эксплуатационная зона ГУП СК «Ставрополькрайводоканал» - «Северный» ПТП Благодарненское:</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разводящие и подводящие водопроводные сети, объединенные для хозяйственно-питьевых и противопожарных нужд, протяженностью 400,25 км;</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напорно-регулирующие резервуары – 22 шт.;</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 xml:space="preserve">- запорная и регулирующая арматура. </w:t>
      </w:r>
    </w:p>
    <w:p>
      <w:pPr>
        <w:pStyle w:val="Normal"/>
        <w:spacing w:lineRule="auto" w:line="240" w:before="0" w:after="0"/>
        <w:ind w:firstLine="567"/>
        <w:jc w:val="both"/>
        <w:rPr>
          <w:rFonts w:ascii="Times New Roman" w:hAnsi="Times New Roman" w:eastAsia="Times New Roman" w:cs="Times New Roman"/>
          <w:bCs/>
          <w:sz w:val="24"/>
          <w:szCs w:val="28"/>
          <w:lang w:eastAsia="ru-RU"/>
        </w:rPr>
      </w:pPr>
      <w:r>
        <w:rPr>
          <w:rFonts w:eastAsia="Times New Roman" w:cs="Times New Roman" w:ascii="Times New Roman" w:hAnsi="Times New Roman"/>
          <w:bCs/>
          <w:iCs/>
          <w:sz w:val="24"/>
          <w:szCs w:val="28"/>
          <w:lang w:eastAsia="ru-RU"/>
        </w:rPr>
        <w:t>ГУП СК «Ставрополькрайводоканал» - «Северный» ПТП Ипатовско</w:t>
      </w:r>
      <w:r>
        <w:rPr>
          <w:rFonts w:eastAsia="Times New Roman" w:cs="Times New Roman" w:ascii="Times New Roman" w:hAnsi="Times New Roman"/>
          <w:bCs/>
          <w:sz w:val="24"/>
          <w:szCs w:val="28"/>
          <w:lang w:eastAsia="ru-RU"/>
        </w:rPr>
        <w:t>е.</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 территории Туркменского муниципального округа услуги централизованного водоснабжения осуществляются в 10 населенных пунктах.</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Общая протяженность водопроводных сетей - 215 км, в т. ч. водоводы-127,8 км, разводящие сети - 87,2 км.</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Насосные станции водоснабжения-4 шт.</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Питьевая вода подготавливается на очистных сооружениях водопровода г. Ипатова Ипатовского муниципального округа и с. Дивное Апанасенковского муниципального округа. Населенные пункты получают воду:</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от очистных сооружений водопровода г. Ипатово - п. Ясный;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от очистных сооружений водопровода с. Дивное - п. Новокучерлинский, с. Кендже-Кулак, а. Сабан Антуста, с. Кучерла, а. Шарахалсун, п. Красный Маныч, п. Голубиный, п. Прудовый, п. Новорагулинский.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Количество обслуживаемых потребителей: физических лиц - 2075 абонентов (5592 жителя), юридических лиц - 43.</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Период эксплуатации - круглосуточный. В летний период расход водопотребления значительно увеличивается.</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Водоснабжение Туркменского муниципального округа осуществляется от поверхностного источника – Левой ветви Правоегорлыкского канала. Подземных источников водоснабжения (скважин) на балансе филиала ГУП СК «Ставрополькрайводоканал» - «Северный» ПТП Ипатовское нет.</w:t>
      </w:r>
    </w:p>
    <w:p>
      <w:pPr>
        <w:pStyle w:val="Normal"/>
        <w:spacing w:lineRule="auto" w:line="240" w:before="0" w:after="0"/>
        <w:ind w:firstLine="567"/>
        <w:jc w:val="both"/>
        <w:rPr>
          <w:rFonts w:ascii="Times New Roman" w:hAnsi="Times New Roman" w:eastAsia="Times New Roman" w:cs="Times New Roman"/>
          <w:bCs/>
          <w:iCs/>
          <w:sz w:val="24"/>
          <w:szCs w:val="28"/>
          <w:lang w:eastAsia="ru-RU"/>
        </w:rPr>
      </w:pPr>
      <w:r>
        <w:rPr>
          <w:rFonts w:eastAsia="Times New Roman" w:cs="Times New Roman" w:ascii="Times New Roman" w:hAnsi="Times New Roman"/>
          <w:bCs/>
          <w:iCs/>
          <w:sz w:val="24"/>
          <w:szCs w:val="28"/>
          <w:lang w:eastAsia="ru-RU"/>
        </w:rPr>
        <w:t>ГУП СК «Ставрополькрайводоканал» - «Северный» ПТП Благодарненское.</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Филиал ГУП СК «Ставрополькрайводоканал» - «Северный» ПТП Благодарненское подает питьевую воду в 15 населенных пунктов Туркменского муниципального округа.</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Источники водоснабжения в зоне обслуживания ПТП Благодарненское - 8 действующих артезианских скважин, 1 - поверхностный источник Грушевское водохранилище (по объёму водоснабжения 96%).</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Основным источником хозяйственно-питьевого водоснабжения является поверхностный водозабор.</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Потребители холодного водоснабжения Туркменского муниципального округа, обслуживаемые ПТП Благодарненское, получают воду из Грушевского водохранилища, расположенного в Александровском муниципальном округе Ставропольского края. Потребители, находящиеся в зоне обслуживания ПТП Ипатовское, обеспечиваются водой через Левую ветвь Правоегорлыкского канала.</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Водоснабжение Туркменского муниципального округа осуществляется от Грушевского водохранилища, вода из которого по самотечному водоводу диаметром 1200 мм протяженностью поступает на очистные сооружения у с. Александрия, затем после очистки и дезинфекции перекачивается в Туркменский муниципальный округ.</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Кроме основных водозаборов, на территории округа есть 1 родник:</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родник с. Малые Ягуры.</w:t>
      </w:r>
    </w:p>
    <w:p>
      <w:pPr>
        <w:pStyle w:val="BodyText"/>
        <w:spacing w:lineRule="auto" w:line="240"/>
        <w:ind w:firstLine="567" w:left="0"/>
        <w:jc w:val="both"/>
        <w:rPr>
          <w:b w:val="false"/>
          <w:bCs w:val="false"/>
          <w:spacing w:val="-6"/>
          <w:sz w:val="24"/>
          <w:u w:val="none"/>
        </w:rPr>
      </w:pPr>
      <w:r>
        <w:rPr>
          <w:b w:val="false"/>
          <w:bCs w:val="false"/>
          <w:sz w:val="24"/>
          <w:u w:val="none"/>
        </w:rPr>
        <w:t>Характеристика существующих водопроводных сетей приведена в табли</w:t>
      </w:r>
      <w:r>
        <w:rPr>
          <w:b w:val="false"/>
          <w:bCs w:val="false"/>
          <w:spacing w:val="-6"/>
          <w:sz w:val="24"/>
          <w:u w:val="none"/>
        </w:rPr>
        <w:t>це 2.</w:t>
      </w:r>
    </w:p>
    <w:p>
      <w:pPr>
        <w:pStyle w:val="BodyText"/>
        <w:spacing w:lineRule="auto" w:line="240"/>
        <w:ind w:left="0" w:right="331"/>
        <w:jc w:val="right"/>
        <w:rPr>
          <w:b w:val="false"/>
          <w:bCs w:val="false"/>
          <w:spacing w:val="-2"/>
          <w:sz w:val="24"/>
          <w:u w:val="none"/>
        </w:rPr>
      </w:pPr>
      <w:r>
        <w:rPr>
          <w:b w:val="false"/>
          <w:bCs w:val="false"/>
          <w:spacing w:val="-2"/>
          <w:sz w:val="24"/>
          <w:u w:val="none"/>
        </w:rPr>
        <w:t>Таблица 2.</w:t>
      </w:r>
    </w:p>
    <w:tbl>
      <w:tblPr>
        <w:tblW w:w="9356" w:type="dxa"/>
        <w:jc w:val="left"/>
        <w:tblInd w:w="25" w:type="dxa"/>
        <w:tblLayout w:type="fixed"/>
        <w:tblCellMar>
          <w:top w:w="0" w:type="dxa"/>
          <w:left w:w="5" w:type="dxa"/>
          <w:bottom w:w="0" w:type="dxa"/>
          <w:right w:w="5" w:type="dxa"/>
        </w:tblCellMar>
        <w:tblLook w:val="04a0"/>
      </w:tblPr>
      <w:tblGrid>
        <w:gridCol w:w="2129"/>
        <w:gridCol w:w="1565"/>
        <w:gridCol w:w="1270"/>
        <w:gridCol w:w="1982"/>
        <w:gridCol w:w="2410"/>
      </w:tblGrid>
      <w:tr>
        <w:trPr>
          <w:trHeight w:val="320"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66"/>
              <w:jc w:val="center"/>
              <w:rPr>
                <w:rFonts w:ascii="Times New Roman" w:hAnsi="Times New Roman" w:cs="Times New Roman"/>
                <w:spacing w:val="-2"/>
                <w:sz w:val="20"/>
                <w:szCs w:val="20"/>
              </w:rPr>
            </w:pPr>
            <w:r>
              <w:rPr>
                <w:rFonts w:cs="Times New Roman" w:ascii="Times New Roman" w:hAnsi="Times New Roman"/>
                <w:spacing w:val="-2"/>
                <w:sz w:val="20"/>
                <w:szCs w:val="20"/>
              </w:rPr>
              <w:t>Наименование</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44"/>
              <w:jc w:val="center"/>
              <w:rPr>
                <w:rFonts w:ascii="Times New Roman" w:hAnsi="Times New Roman" w:cs="Times New Roman"/>
                <w:spacing w:val="-2"/>
                <w:sz w:val="20"/>
                <w:szCs w:val="20"/>
              </w:rPr>
            </w:pPr>
            <w:r>
              <w:rPr>
                <w:rFonts w:cs="Times New Roman" w:ascii="Times New Roman" w:hAnsi="Times New Roman"/>
                <w:spacing w:val="-2"/>
                <w:sz w:val="20"/>
                <w:szCs w:val="20"/>
              </w:rPr>
              <w:t>Количество</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30"/>
              <w:jc w:val="center"/>
              <w:rPr>
                <w:rFonts w:ascii="Times New Roman" w:hAnsi="Times New Roman" w:cs="Times New Roman"/>
                <w:spacing w:val="-2"/>
                <w:sz w:val="20"/>
                <w:szCs w:val="20"/>
              </w:rPr>
            </w:pPr>
            <w:r>
              <w:rPr>
                <w:rFonts w:cs="Times New Roman" w:ascii="Times New Roman" w:hAnsi="Times New Roman"/>
                <w:spacing w:val="-2"/>
                <w:sz w:val="20"/>
                <w:szCs w:val="20"/>
              </w:rPr>
              <w:t>Всего</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в том числе </w:t>
            </w:r>
            <w:r>
              <w:rPr>
                <w:rFonts w:cs="Times New Roman" w:ascii="Times New Roman" w:hAnsi="Times New Roman"/>
                <w:spacing w:val="-2"/>
                <w:sz w:val="20"/>
                <w:szCs w:val="20"/>
              </w:rPr>
              <w:t>водоводов</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 том числе разводящих сетей</w:t>
            </w:r>
          </w:p>
        </w:tc>
      </w:tr>
      <w:tr>
        <w:trPr>
          <w:trHeight w:val="27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1</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2</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3</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5</w:t>
            </w:r>
          </w:p>
        </w:tc>
      </w:tr>
      <w:tr>
        <w:trPr>
          <w:trHeight w:val="149"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4" w:after="0"/>
              <w:rPr>
                <w:rFonts w:ascii="Times New Roman" w:hAnsi="Times New Roman" w:cs="Times New Roman"/>
                <w:sz w:val="20"/>
                <w:szCs w:val="20"/>
              </w:rPr>
            </w:pPr>
            <w:r>
              <w:rPr>
                <w:rFonts w:cs="Times New Roman" w:ascii="Times New Roman" w:hAnsi="Times New Roman"/>
                <w:sz w:val="20"/>
                <w:szCs w:val="20"/>
              </w:rPr>
              <w:t>п. Ясный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56,7</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45,0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11,7</w:t>
            </w:r>
          </w:p>
        </w:tc>
      </w:tr>
      <w:tr>
        <w:trPr>
          <w:trHeight w:val="181"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п. Новокучерлинский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19,0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16,0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3,0</w:t>
            </w:r>
          </w:p>
        </w:tc>
      </w:tr>
      <w:tr>
        <w:trPr>
          <w:trHeight w:val="213"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с. Кучерла</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26,1</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9,8</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16,3</w:t>
            </w:r>
          </w:p>
        </w:tc>
      </w:tr>
      <w:tr>
        <w:trPr>
          <w:trHeight w:val="103"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а. Шарахалсун</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27,2</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11,0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16,2</w:t>
            </w:r>
          </w:p>
        </w:tc>
      </w:tr>
      <w:tr>
        <w:trPr>
          <w:trHeight w:val="1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2" w:after="0"/>
              <w:rPr>
                <w:rFonts w:ascii="Times New Roman" w:hAnsi="Times New Roman" w:cs="Times New Roman"/>
                <w:sz w:val="20"/>
                <w:szCs w:val="20"/>
              </w:rPr>
            </w:pPr>
            <w:r>
              <w:rPr>
                <w:rFonts w:cs="Times New Roman" w:ascii="Times New Roman" w:hAnsi="Times New Roman"/>
                <w:sz w:val="20"/>
                <w:szCs w:val="20"/>
              </w:rPr>
              <w:t>п. Красный Маныч</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25,6</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10,3</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15,4</w:t>
            </w:r>
          </w:p>
        </w:tc>
      </w:tr>
      <w:tr>
        <w:trPr>
          <w:trHeight w:val="181"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2" w:after="0"/>
              <w:rPr>
                <w:rFonts w:ascii="Times New Roman" w:hAnsi="Times New Roman" w:cs="Times New Roman"/>
                <w:sz w:val="20"/>
                <w:szCs w:val="20"/>
              </w:rPr>
            </w:pPr>
            <w:r>
              <w:rPr>
                <w:rFonts w:cs="Times New Roman" w:ascii="Times New Roman" w:hAnsi="Times New Roman"/>
                <w:sz w:val="20"/>
                <w:szCs w:val="20"/>
              </w:rPr>
              <w:t>п. Новорагулинский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7,0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5,7</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1,3</w:t>
            </w:r>
          </w:p>
        </w:tc>
      </w:tr>
      <w:tr>
        <w:trPr>
          <w:trHeight w:val="276"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п. Голубиный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3,4</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3,4</w:t>
            </w:r>
          </w:p>
        </w:tc>
      </w:tr>
      <w:tr>
        <w:trPr>
          <w:trHeight w:val="267"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п. Прудовый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5,5</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5,5</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0,0</w:t>
            </w:r>
          </w:p>
        </w:tc>
      </w:tr>
      <w:tr>
        <w:trPr>
          <w:trHeight w:val="270"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с. Кендже-Кулак</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28,5</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18,6</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r>
      <w:tr>
        <w:trPr>
          <w:trHeight w:val="288"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rPr>
                <w:rFonts w:ascii="Times New Roman" w:hAnsi="Times New Roman" w:cs="Times New Roman"/>
                <w:sz w:val="20"/>
                <w:szCs w:val="20"/>
              </w:rPr>
            </w:pPr>
            <w:r>
              <w:rPr>
                <w:rFonts w:cs="Times New Roman" w:ascii="Times New Roman" w:hAnsi="Times New Roman"/>
                <w:sz w:val="20"/>
                <w:szCs w:val="20"/>
              </w:rPr>
              <w:t>а. Сабан-Антуста</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7"/>
              <w:jc w:val="center"/>
              <w:rPr>
                <w:rFonts w:ascii="Times New Roman" w:hAnsi="Times New Roman" w:cs="Times New Roman"/>
                <w:spacing w:val="-4"/>
                <w:sz w:val="20"/>
                <w:szCs w:val="20"/>
              </w:rPr>
            </w:pPr>
            <w:r>
              <w:rPr>
                <w:rFonts w:cs="Times New Roman" w:ascii="Times New Roman" w:hAnsi="Times New Roman"/>
                <w:spacing w:val="-4"/>
                <w:sz w:val="20"/>
                <w:szCs w:val="20"/>
              </w:rPr>
              <w:t>15,9</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86"/>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5" w:after="0"/>
              <w:ind w:right="72"/>
              <w:jc w:val="center"/>
              <w:rPr>
                <w:rFonts w:ascii="Times New Roman" w:hAnsi="Times New Roman" w:cs="Times New Roman"/>
                <w:spacing w:val="-4"/>
                <w:sz w:val="20"/>
                <w:szCs w:val="20"/>
              </w:rPr>
            </w:pPr>
            <w:r>
              <w:rPr>
                <w:rFonts w:cs="Times New Roman" w:ascii="Times New Roman" w:hAnsi="Times New Roman"/>
                <w:spacing w:val="-4"/>
                <w:sz w:val="20"/>
                <w:szCs w:val="20"/>
              </w:rPr>
              <w:t>9,9</w:t>
            </w:r>
          </w:p>
        </w:tc>
      </w:tr>
      <w:tr>
        <w:trPr>
          <w:trHeight w:val="263"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51" w:after="0"/>
              <w:rPr>
                <w:rFonts w:ascii="Times New Roman" w:hAnsi="Times New Roman" w:cs="Times New Roman"/>
                <w:sz w:val="20"/>
                <w:szCs w:val="20"/>
              </w:rPr>
            </w:pPr>
            <w:r>
              <w:rPr>
                <w:rFonts w:cs="Times New Roman" w:ascii="Times New Roman" w:hAnsi="Times New Roman"/>
                <w:sz w:val="20"/>
                <w:szCs w:val="20"/>
              </w:rPr>
              <w:t>а. Маштак-Кулак</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2,830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2,830</w:t>
            </w:r>
          </w:p>
        </w:tc>
      </w:tr>
      <w:tr>
        <w:trPr>
          <w:trHeight w:val="84"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51" w:after="0"/>
              <w:rPr>
                <w:rFonts w:ascii="Times New Roman" w:hAnsi="Times New Roman" w:cs="Times New Roman"/>
                <w:sz w:val="20"/>
                <w:szCs w:val="20"/>
              </w:rPr>
            </w:pPr>
            <w:r>
              <w:rPr>
                <w:rFonts w:cs="Times New Roman" w:ascii="Times New Roman" w:hAnsi="Times New Roman"/>
                <w:sz w:val="20"/>
                <w:szCs w:val="20"/>
              </w:rPr>
              <w:t>п. Владимировка</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23,210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23,210</w:t>
            </w:r>
          </w:p>
        </w:tc>
      </w:tr>
      <w:tr>
        <w:trPr>
          <w:trHeight w:val="187"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с. Казгулак</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56,460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30,180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26,280</w:t>
            </w:r>
          </w:p>
        </w:tc>
      </w:tr>
      <w:tr>
        <w:trPr>
          <w:trHeight w:val="1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с. Камбулат</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27,100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27,100</w:t>
            </w:r>
          </w:p>
        </w:tc>
      </w:tr>
      <w:tr>
        <w:trPr>
          <w:trHeight w:val="239"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п. Таврический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2,230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2,230</w:t>
            </w:r>
          </w:p>
        </w:tc>
      </w:tr>
      <w:tr>
        <w:trPr>
          <w:trHeight w:val="187"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а. Куликовы Копани</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15,710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15,710</w:t>
            </w:r>
          </w:p>
        </w:tc>
      </w:tr>
      <w:tr>
        <w:trPr>
          <w:trHeight w:val="149"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 w:after="0"/>
              <w:rPr>
                <w:rFonts w:ascii="Times New Roman" w:hAnsi="Times New Roman" w:cs="Times New Roman"/>
                <w:sz w:val="20"/>
                <w:szCs w:val="20"/>
              </w:rPr>
            </w:pPr>
            <w:r>
              <w:rPr>
                <w:rFonts w:cs="Times New Roman" w:ascii="Times New Roman" w:hAnsi="Times New Roman"/>
                <w:sz w:val="20"/>
                <w:szCs w:val="20"/>
              </w:rPr>
              <w:t>п.Троицкий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5,037</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5,037</w:t>
            </w:r>
          </w:p>
        </w:tc>
      </w:tr>
      <w:tr>
        <w:trPr>
          <w:trHeight w:val="253"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 w:after="0"/>
              <w:rPr>
                <w:rFonts w:ascii="Times New Roman" w:hAnsi="Times New Roman" w:cs="Times New Roman"/>
                <w:sz w:val="20"/>
                <w:szCs w:val="20"/>
              </w:rPr>
            </w:pPr>
            <w:r>
              <w:rPr>
                <w:rFonts w:cs="Times New Roman" w:ascii="Times New Roman" w:hAnsi="Times New Roman"/>
                <w:sz w:val="20"/>
                <w:szCs w:val="20"/>
              </w:rPr>
              <w:t>а. Чур</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2,160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2,160</w:t>
            </w:r>
          </w:p>
        </w:tc>
      </w:tr>
      <w:tr>
        <w:trPr>
          <w:trHeight w:val="21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с. Летняя Ставка</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142,659</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107,389</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35,270</w:t>
            </w:r>
          </w:p>
        </w:tc>
      </w:tr>
      <w:tr>
        <w:trPr>
          <w:trHeight w:val="3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п. Березовский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9,600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9,600</w:t>
            </w:r>
          </w:p>
        </w:tc>
      </w:tr>
      <w:tr>
        <w:trPr>
          <w:trHeight w:val="3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п. Поперечный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9,260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9,260</w:t>
            </w:r>
          </w:p>
        </w:tc>
      </w:tr>
      <w:tr>
        <w:trPr>
          <w:trHeight w:val="338"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 w:after="0"/>
              <w:rPr>
                <w:rFonts w:ascii="Times New Roman" w:hAnsi="Times New Roman" w:cs="Times New Roman"/>
                <w:sz w:val="20"/>
                <w:szCs w:val="20"/>
              </w:rPr>
            </w:pPr>
            <w:r>
              <w:rPr>
                <w:rFonts w:cs="Times New Roman" w:ascii="Times New Roman" w:hAnsi="Times New Roman"/>
                <w:sz w:val="20"/>
                <w:szCs w:val="20"/>
              </w:rPr>
              <w:t>п.Красная Поляна</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2,000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4"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2,000</w:t>
            </w:r>
          </w:p>
        </w:tc>
      </w:tr>
      <w:tr>
        <w:trPr>
          <w:trHeight w:val="3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1" w:after="0"/>
              <w:rPr>
                <w:rFonts w:ascii="Times New Roman" w:hAnsi="Times New Roman" w:cs="Times New Roman"/>
                <w:sz w:val="20"/>
                <w:szCs w:val="20"/>
              </w:rPr>
            </w:pPr>
            <w:r>
              <w:rPr>
                <w:rFonts w:cs="Times New Roman" w:ascii="Times New Roman" w:hAnsi="Times New Roman"/>
                <w:sz w:val="20"/>
                <w:szCs w:val="20"/>
              </w:rPr>
              <w:t>п.Отрадный</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0,950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0,000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0,950</w:t>
            </w:r>
          </w:p>
        </w:tc>
      </w:tr>
      <w:tr>
        <w:trPr>
          <w:trHeight w:val="335"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 w:after="0"/>
              <w:rPr>
                <w:rFonts w:ascii="Times New Roman" w:hAnsi="Times New Roman" w:cs="Times New Roman"/>
                <w:sz w:val="20"/>
                <w:szCs w:val="20"/>
              </w:rPr>
            </w:pPr>
            <w:r>
              <w:rPr>
                <w:rFonts w:cs="Times New Roman" w:ascii="Times New Roman" w:hAnsi="Times New Roman"/>
                <w:sz w:val="20"/>
                <w:szCs w:val="20"/>
              </w:rPr>
              <w:t>с. Овощи</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57,550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33,600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52"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23,950</w:t>
            </w:r>
          </w:p>
        </w:tc>
      </w:tr>
      <w:tr>
        <w:trPr>
          <w:trHeight w:val="349" w:hRule="atLeast"/>
        </w:trPr>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27" w:after="0"/>
              <w:rPr>
                <w:rFonts w:ascii="Times New Roman" w:hAnsi="Times New Roman" w:cs="Times New Roman"/>
                <w:sz w:val="20"/>
                <w:szCs w:val="20"/>
              </w:rPr>
            </w:pPr>
            <w:r>
              <w:rPr>
                <w:rFonts w:cs="Times New Roman" w:ascii="Times New Roman" w:hAnsi="Times New Roman"/>
                <w:sz w:val="20"/>
                <w:szCs w:val="20"/>
              </w:rPr>
              <w:t>с. Малые Ягуры</w:t>
            </w:r>
          </w:p>
        </w:tc>
        <w:tc>
          <w:tcPr>
            <w:tcW w:w="1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64" w:after="0"/>
              <w:jc w:val="center"/>
              <w:rPr>
                <w:rFonts w:ascii="Times New Roman" w:hAnsi="Times New Roman" w:cs="Times New Roman"/>
                <w:sz w:val="20"/>
                <w:szCs w:val="20"/>
              </w:rPr>
            </w:pPr>
            <w:r>
              <w:rPr>
                <w:rFonts w:cs="Times New Roman" w:ascii="Times New Roman" w:hAnsi="Times New Roman"/>
                <w:sz w:val="20"/>
                <w:szCs w:val="20"/>
              </w:rPr>
              <w:t>1</w:t>
            </w:r>
          </w:p>
        </w:tc>
        <w:tc>
          <w:tcPr>
            <w:tcW w:w="1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64" w:after="0"/>
              <w:ind w:right="87"/>
              <w:jc w:val="center"/>
              <w:rPr>
                <w:rFonts w:ascii="Times New Roman" w:hAnsi="Times New Roman" w:cs="Times New Roman"/>
                <w:spacing w:val="-2"/>
                <w:sz w:val="20"/>
                <w:szCs w:val="20"/>
              </w:rPr>
            </w:pPr>
            <w:r>
              <w:rPr>
                <w:rFonts w:cs="Times New Roman" w:ascii="Times New Roman" w:hAnsi="Times New Roman"/>
                <w:spacing w:val="-2"/>
                <w:sz w:val="20"/>
                <w:szCs w:val="20"/>
              </w:rPr>
              <w:t>43,490</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64" w:after="0"/>
              <w:ind w:right="86"/>
              <w:jc w:val="center"/>
              <w:rPr>
                <w:rFonts w:ascii="Times New Roman" w:hAnsi="Times New Roman" w:cs="Times New Roman"/>
                <w:spacing w:val="-2"/>
                <w:sz w:val="20"/>
                <w:szCs w:val="20"/>
              </w:rPr>
            </w:pPr>
            <w:r>
              <w:rPr>
                <w:rFonts w:cs="Times New Roman" w:ascii="Times New Roman" w:hAnsi="Times New Roman"/>
                <w:spacing w:val="-2"/>
                <w:sz w:val="20"/>
                <w:szCs w:val="20"/>
              </w:rPr>
              <w:t>20,100</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64" w:after="0"/>
              <w:ind w:right="72"/>
              <w:jc w:val="center"/>
              <w:rPr>
                <w:rFonts w:ascii="Times New Roman" w:hAnsi="Times New Roman" w:cs="Times New Roman"/>
                <w:spacing w:val="-2"/>
                <w:sz w:val="20"/>
                <w:szCs w:val="20"/>
              </w:rPr>
            </w:pPr>
            <w:r>
              <w:rPr>
                <w:rFonts w:cs="Times New Roman" w:ascii="Times New Roman" w:hAnsi="Times New Roman"/>
                <w:spacing w:val="-2"/>
                <w:sz w:val="20"/>
                <w:szCs w:val="20"/>
              </w:rPr>
              <w:t>23,390</w:t>
            </w:r>
          </w:p>
        </w:tc>
      </w:tr>
    </w:tbl>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3.</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Характеристика напорно-регулирующих резервуаров</w:t>
      </w:r>
    </w:p>
    <w:tbl>
      <w:tblPr>
        <w:tblW w:w="9346" w:type="dxa"/>
        <w:jc w:val="left"/>
        <w:tblInd w:w="35" w:type="dxa"/>
        <w:tblLayout w:type="fixed"/>
        <w:tblCellMar>
          <w:top w:w="0" w:type="dxa"/>
          <w:left w:w="5" w:type="dxa"/>
          <w:bottom w:w="0" w:type="dxa"/>
          <w:right w:w="5" w:type="dxa"/>
        </w:tblCellMar>
        <w:tblLook w:val="04a0"/>
      </w:tblPr>
      <w:tblGrid>
        <w:gridCol w:w="3532"/>
        <w:gridCol w:w="1985"/>
        <w:gridCol w:w="1275"/>
        <w:gridCol w:w="1005"/>
        <w:gridCol w:w="1549"/>
      </w:tblGrid>
      <w:tr>
        <w:trPr>
          <w:trHeight w:val="153"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Наименование</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5"/>
              <w:jc w:val="center"/>
              <w:rPr>
                <w:rFonts w:ascii="Times New Roman" w:hAnsi="Times New Roman" w:cs="Times New Roman"/>
                <w:sz w:val="20"/>
                <w:szCs w:val="20"/>
              </w:rPr>
            </w:pPr>
            <w:r>
              <w:rPr>
                <w:rFonts w:cs="Times New Roman" w:ascii="Times New Roman" w:hAnsi="Times New Roman"/>
                <w:sz w:val="20"/>
                <w:szCs w:val="20"/>
              </w:rPr>
              <w:t>Место</w:t>
            </w:r>
            <w:r>
              <w:rPr>
                <w:rFonts w:cs="Times New Roman" w:ascii="Times New Roman" w:hAnsi="Times New Roman"/>
                <w:spacing w:val="-15"/>
                <w:sz w:val="20"/>
                <w:szCs w:val="20"/>
              </w:rPr>
              <w:t xml:space="preserve"> р</w:t>
            </w:r>
            <w:r>
              <w:rPr>
                <w:rFonts w:cs="Times New Roman" w:ascii="Times New Roman" w:hAnsi="Times New Roman"/>
                <w:sz w:val="20"/>
                <w:szCs w:val="20"/>
              </w:rPr>
              <w:t>асположения (адрес)</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Объем </w:t>
            </w:r>
            <w:r>
              <w:rPr>
                <w:rFonts w:cs="Times New Roman" w:ascii="Times New Roman" w:hAnsi="Times New Roman"/>
                <w:spacing w:val="-4"/>
                <w:sz w:val="20"/>
                <w:szCs w:val="20"/>
              </w:rPr>
              <w:t>бака</w:t>
            </w:r>
          </w:p>
        </w:tc>
        <w:tc>
          <w:tcPr>
            <w:tcW w:w="10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7"/>
              <w:jc w:val="center"/>
              <w:rPr>
                <w:rFonts w:ascii="Times New Roman" w:hAnsi="Times New Roman" w:cs="Times New Roman"/>
                <w:sz w:val="20"/>
                <w:szCs w:val="20"/>
              </w:rPr>
            </w:pPr>
            <w:r>
              <w:rPr>
                <w:rFonts w:cs="Times New Roman" w:ascii="Times New Roman" w:hAnsi="Times New Roman"/>
                <w:sz w:val="20"/>
                <w:szCs w:val="20"/>
              </w:rPr>
              <w:t>Режим</w:t>
            </w:r>
          </w:p>
          <w:p>
            <w:pPr>
              <w:pStyle w:val="Normal"/>
              <w:spacing w:lineRule="auto" w:line="240" w:before="0" w:after="0"/>
              <w:ind w:right="47"/>
              <w:jc w:val="center"/>
              <w:rPr>
                <w:rFonts w:ascii="Times New Roman" w:hAnsi="Times New Roman" w:cs="Times New Roman"/>
                <w:sz w:val="20"/>
                <w:szCs w:val="20"/>
              </w:rPr>
            </w:pPr>
            <w:r>
              <w:rPr>
                <w:rFonts w:cs="Times New Roman" w:ascii="Times New Roman" w:hAnsi="Times New Roman"/>
                <w:sz w:val="20"/>
                <w:szCs w:val="20"/>
              </w:rPr>
              <w:t>работы, ч</w:t>
            </w:r>
          </w:p>
        </w:tc>
        <w:tc>
          <w:tcPr>
            <w:tcW w:w="15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Степень износа, %</w:t>
            </w:r>
          </w:p>
        </w:tc>
      </w:tr>
      <w:tr>
        <w:trPr>
          <w:trHeight w:val="379"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Напорно-регулирующие резервуары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9"/>
              <w:jc w:val="center"/>
              <w:rPr>
                <w:rFonts w:ascii="Times New Roman" w:hAnsi="Times New Roman" w:cs="Times New Roman"/>
                <w:sz w:val="20"/>
                <w:szCs w:val="20"/>
              </w:rPr>
            </w:pPr>
            <w:r>
              <w:rPr>
                <w:rFonts w:cs="Times New Roman" w:ascii="Times New Roman" w:hAnsi="Times New Roman"/>
                <w:sz w:val="20"/>
                <w:szCs w:val="20"/>
              </w:rPr>
              <w:t>п. Ясный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3"/>
              <w:jc w:val="center"/>
              <w:rPr>
                <w:rFonts w:ascii="Times New Roman" w:hAnsi="Times New Roman" w:cs="Times New Roman"/>
                <w:spacing w:val="-2"/>
                <w:sz w:val="20"/>
                <w:szCs w:val="20"/>
                <w:vertAlign w:val="superscript"/>
              </w:rPr>
            </w:pPr>
            <w:r>
              <w:rPr>
                <w:rFonts w:cs="Times New Roman" w:ascii="Times New Roman" w:hAnsi="Times New Roman"/>
                <w:spacing w:val="-2"/>
                <w:sz w:val="20"/>
                <w:szCs w:val="20"/>
              </w:rPr>
              <w:t>2*500м</w:t>
            </w:r>
            <w:r>
              <w:rPr>
                <w:rFonts w:cs="Times New Roman" w:ascii="Times New Roman" w:hAnsi="Times New Roman"/>
                <w:spacing w:val="-2"/>
                <w:sz w:val="20"/>
                <w:szCs w:val="20"/>
                <w:vertAlign w:val="superscript"/>
              </w:rPr>
              <w:t>3</w:t>
            </w:r>
          </w:p>
        </w:tc>
        <w:tc>
          <w:tcPr>
            <w:tcW w:w="100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7"/>
              <w:jc w:val="center"/>
              <w:rPr>
                <w:rFonts w:ascii="Times New Roman" w:hAnsi="Times New Roman" w:cs="Times New Roman"/>
                <w:spacing w:val="-6"/>
                <w:sz w:val="20"/>
                <w:szCs w:val="20"/>
              </w:rPr>
            </w:pPr>
            <w:r>
              <w:rPr>
                <w:rFonts w:cs="Times New Roman" w:ascii="Times New Roman" w:hAnsi="Times New Roman"/>
                <w:spacing w:val="-6"/>
                <w:sz w:val="20"/>
                <w:szCs w:val="20"/>
              </w:rPr>
              <w:t>24</w:t>
            </w:r>
          </w:p>
        </w:tc>
        <w:tc>
          <w:tcPr>
            <w:tcW w:w="1549"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более 80%</w:t>
            </w:r>
          </w:p>
        </w:tc>
      </w:tr>
      <w:tr>
        <w:trPr>
          <w:trHeight w:val="415"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z w:val="20"/>
                <w:szCs w:val="20"/>
              </w:rPr>
              <w:t>п.Новокучерлин</w:t>
            </w:r>
            <w:r>
              <w:rPr>
                <w:rFonts w:cs="Times New Roman" w:ascii="Times New Roman" w:hAnsi="Times New Roman"/>
                <w:spacing w:val="-4"/>
                <w:sz w:val="20"/>
                <w:szCs w:val="20"/>
              </w:rPr>
              <w:t>ский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1"/>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2*500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51"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с. Кучерла</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2*500,</w:t>
            </w:r>
          </w:p>
          <w:p>
            <w:pPr>
              <w:pStyle w:val="Normal"/>
              <w:spacing w:lineRule="auto" w:line="240" w:before="0" w:after="0"/>
              <w:jc w:val="center"/>
              <w:rPr>
                <w:rFonts w:ascii="Times New Roman" w:hAnsi="Times New Roman" w:cs="Times New Roman"/>
                <w:spacing w:val="-2"/>
                <w:sz w:val="20"/>
                <w:szCs w:val="20"/>
                <w:vertAlign w:val="superscript"/>
              </w:rPr>
            </w:pPr>
            <w:r>
              <w:rPr>
                <w:rFonts w:cs="Times New Roman" w:ascii="Times New Roman" w:hAnsi="Times New Roman"/>
                <w:spacing w:val="-2"/>
                <w:sz w:val="20"/>
                <w:szCs w:val="20"/>
              </w:rPr>
              <w:t>1*250м</w:t>
            </w:r>
            <w:r>
              <w:rPr>
                <w:rFonts w:cs="Times New Roman" w:ascii="Times New Roman" w:hAnsi="Times New Roman"/>
                <w:spacing w:val="-2"/>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275"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а. Шарахалсун</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3"/>
              <w:jc w:val="center"/>
              <w:rPr>
                <w:rFonts w:ascii="Times New Roman" w:hAnsi="Times New Roman" w:cs="Times New Roman"/>
                <w:spacing w:val="-2"/>
                <w:sz w:val="20"/>
                <w:szCs w:val="20"/>
                <w:vertAlign w:val="superscript"/>
              </w:rPr>
            </w:pPr>
            <w:r>
              <w:rPr>
                <w:rFonts w:cs="Times New Roman" w:ascii="Times New Roman" w:hAnsi="Times New Roman"/>
                <w:spacing w:val="-2"/>
                <w:sz w:val="20"/>
                <w:szCs w:val="20"/>
              </w:rPr>
              <w:t>2*500м</w:t>
            </w:r>
            <w:r>
              <w:rPr>
                <w:rFonts w:cs="Times New Roman" w:ascii="Times New Roman" w:hAnsi="Times New Roman"/>
                <w:spacing w:val="-2"/>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39"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п. Красный Маныч</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3"/>
              <w:jc w:val="center"/>
              <w:rPr>
                <w:rFonts w:ascii="Times New Roman" w:hAnsi="Times New Roman" w:cs="Times New Roman"/>
                <w:spacing w:val="-2"/>
                <w:sz w:val="20"/>
                <w:szCs w:val="20"/>
                <w:vertAlign w:val="superscript"/>
              </w:rPr>
            </w:pPr>
            <w:r>
              <w:rPr>
                <w:rFonts w:cs="Times New Roman" w:ascii="Times New Roman" w:hAnsi="Times New Roman"/>
                <w:spacing w:val="-2"/>
                <w:sz w:val="20"/>
                <w:szCs w:val="20"/>
              </w:rPr>
              <w:t>2*500м</w:t>
            </w:r>
            <w:r>
              <w:rPr>
                <w:rFonts w:cs="Times New Roman" w:ascii="Times New Roman" w:hAnsi="Times New Roman"/>
                <w:spacing w:val="-2"/>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178"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9"/>
              <w:jc w:val="center"/>
              <w:rPr>
                <w:rFonts w:ascii="Times New Roman" w:hAnsi="Times New Roman" w:cs="Times New Roman"/>
                <w:sz w:val="20"/>
                <w:szCs w:val="20"/>
              </w:rPr>
            </w:pPr>
            <w:r>
              <w:rPr>
                <w:rFonts w:cs="Times New Roman" w:ascii="Times New Roman" w:hAnsi="Times New Roman"/>
                <w:sz w:val="20"/>
                <w:szCs w:val="20"/>
              </w:rPr>
              <w:t>с. Кендже-Кулак</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3"/>
              <w:jc w:val="center"/>
              <w:rPr>
                <w:rFonts w:ascii="Times New Roman" w:hAnsi="Times New Roman" w:cs="Times New Roman"/>
                <w:spacing w:val="-2"/>
                <w:sz w:val="20"/>
                <w:szCs w:val="20"/>
                <w:vertAlign w:val="superscript"/>
              </w:rPr>
            </w:pPr>
            <w:r>
              <w:rPr>
                <w:rFonts w:cs="Times New Roman" w:ascii="Times New Roman" w:hAnsi="Times New Roman"/>
                <w:spacing w:val="-2"/>
                <w:sz w:val="20"/>
                <w:szCs w:val="20"/>
              </w:rPr>
              <w:t>2*500м</w:t>
            </w:r>
            <w:r>
              <w:rPr>
                <w:rFonts w:cs="Times New Roman" w:ascii="Times New Roman" w:hAnsi="Times New Roman"/>
                <w:spacing w:val="-2"/>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83"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а. Сабан-Антуста</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1"/>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2*250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505"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140" w:leader="none"/>
              </w:tabs>
              <w:spacing w:lineRule="auto" w:line="240" w:before="0" w:after="0"/>
              <w:ind w:right="135"/>
              <w:jc w:val="center"/>
              <w:rPr>
                <w:rFonts w:ascii="Times New Roman" w:hAnsi="Times New Roman" w:cs="Times New Roman"/>
                <w:spacing w:val="-6"/>
                <w:sz w:val="20"/>
                <w:szCs w:val="20"/>
              </w:rPr>
            </w:pPr>
            <w:r>
              <w:rPr>
                <w:rFonts w:cs="Times New Roman" w:ascii="Times New Roman" w:hAnsi="Times New Roman"/>
                <w:sz w:val="20"/>
                <w:szCs w:val="20"/>
              </w:rPr>
              <w:t>а. Куликовы</w:t>
            </w:r>
            <w:r>
              <w:rPr>
                <w:rFonts w:cs="Times New Roman" w:ascii="Times New Roman" w:hAnsi="Times New Roman"/>
                <w:spacing w:val="-15"/>
                <w:sz w:val="20"/>
                <w:szCs w:val="20"/>
              </w:rPr>
              <w:t xml:space="preserve"> К</w:t>
            </w:r>
            <w:r>
              <w:rPr>
                <w:rFonts w:cs="Times New Roman" w:ascii="Times New Roman" w:hAnsi="Times New Roman"/>
                <w:sz w:val="20"/>
                <w:szCs w:val="20"/>
              </w:rPr>
              <w:t>опа</w:t>
            </w:r>
            <w:r>
              <w:rPr>
                <w:rFonts w:cs="Times New Roman" w:ascii="Times New Roman" w:hAnsi="Times New Roman"/>
                <w:spacing w:val="-6"/>
                <w:sz w:val="20"/>
                <w:szCs w:val="20"/>
              </w:rPr>
              <w:t>ни</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1"/>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2*500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272"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п. Таврический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1"/>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2*200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63"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9"/>
              <w:jc w:val="center"/>
              <w:rPr>
                <w:rFonts w:ascii="Times New Roman" w:hAnsi="Times New Roman" w:cs="Times New Roman"/>
                <w:sz w:val="20"/>
                <w:szCs w:val="20"/>
              </w:rPr>
            </w:pPr>
            <w:r>
              <w:rPr>
                <w:rFonts w:cs="Times New Roman" w:ascii="Times New Roman" w:hAnsi="Times New Roman"/>
                <w:sz w:val="20"/>
                <w:szCs w:val="20"/>
              </w:rPr>
              <w:t>п. Троицкий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1"/>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2*150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500"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8"/>
              <w:jc w:val="center"/>
              <w:rPr>
                <w:rFonts w:ascii="Times New Roman" w:hAnsi="Times New Roman" w:cs="Times New Roman"/>
                <w:sz w:val="20"/>
                <w:szCs w:val="20"/>
              </w:rPr>
            </w:pPr>
            <w:r>
              <w:rPr>
                <w:rFonts w:cs="Times New Roman" w:ascii="Times New Roman" w:hAnsi="Times New Roman"/>
                <w:sz w:val="20"/>
                <w:szCs w:val="20"/>
              </w:rPr>
              <w:t>п. Владимировка</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19"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с. Малые Ягуры</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2*120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69"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с. Камбулат</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1*200 м</w:t>
            </w:r>
            <w:r>
              <w:rPr>
                <w:rFonts w:cs="Times New Roman" w:ascii="Times New Roman" w:hAnsi="Times New Roman"/>
                <w:w w:val="105"/>
                <w:sz w:val="20"/>
                <w:szCs w:val="20"/>
                <w:vertAlign w:val="superscript"/>
              </w:rPr>
              <w:t>3</w:t>
            </w:r>
          </w:p>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1*100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555"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п. Поперечный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1*75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276"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п. Березовский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1*75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326"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0"/>
              <w:jc w:val="center"/>
              <w:rPr>
                <w:rFonts w:ascii="Times New Roman" w:hAnsi="Times New Roman" w:cs="Times New Roman"/>
                <w:sz w:val="20"/>
                <w:szCs w:val="20"/>
              </w:rPr>
            </w:pPr>
            <w:r>
              <w:rPr>
                <w:rFonts w:cs="Times New Roman" w:ascii="Times New Roman" w:hAnsi="Times New Roman"/>
                <w:sz w:val="20"/>
                <w:szCs w:val="20"/>
              </w:rPr>
              <w:t>с. Казгулак</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2*1200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61"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п. Красная Поляна</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2*250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10"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9"/>
              <w:jc w:val="center"/>
              <w:rPr>
                <w:rFonts w:ascii="Times New Roman" w:hAnsi="Times New Roman" w:cs="Times New Roman"/>
                <w:sz w:val="20"/>
                <w:szCs w:val="20"/>
              </w:rPr>
            </w:pPr>
            <w:r>
              <w:rPr>
                <w:rFonts w:cs="Times New Roman" w:ascii="Times New Roman" w:hAnsi="Times New Roman"/>
                <w:sz w:val="20"/>
                <w:szCs w:val="20"/>
              </w:rPr>
              <w:t>с. Овощи</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2*1000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r>
        <w:trPr>
          <w:trHeight w:val="459" w:hRule="atLeast"/>
        </w:trPr>
        <w:tc>
          <w:tcPr>
            <w:tcW w:w="3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Напорно-</w:t>
            </w:r>
            <w:r>
              <w:rPr>
                <w:rFonts w:cs="Times New Roman" w:ascii="Times New Roman" w:hAnsi="Times New Roman"/>
                <w:sz w:val="20"/>
                <w:szCs w:val="20"/>
              </w:rPr>
              <w:t>регулирующие резер</w:t>
            </w:r>
            <w:r>
              <w:rPr>
                <w:rFonts w:cs="Times New Roman" w:ascii="Times New Roman" w:hAnsi="Times New Roman"/>
                <w:spacing w:val="-4"/>
                <w:sz w:val="20"/>
                <w:szCs w:val="20"/>
              </w:rPr>
              <w:t>вуары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8"/>
              <w:jc w:val="center"/>
              <w:rPr>
                <w:rFonts w:ascii="Times New Roman" w:hAnsi="Times New Roman" w:cs="Times New Roman"/>
                <w:sz w:val="20"/>
                <w:szCs w:val="20"/>
              </w:rPr>
            </w:pPr>
            <w:r>
              <w:rPr>
                <w:rFonts w:cs="Times New Roman" w:ascii="Times New Roman" w:hAnsi="Times New Roman"/>
                <w:sz w:val="20"/>
                <w:szCs w:val="20"/>
              </w:rPr>
              <w:t>с. Летняя Ставка</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105"/>
                <w:sz w:val="20"/>
                <w:szCs w:val="20"/>
                <w:vertAlign w:val="superscript"/>
              </w:rPr>
            </w:pPr>
            <w:r>
              <w:rPr>
                <w:rFonts w:cs="Times New Roman" w:ascii="Times New Roman" w:hAnsi="Times New Roman"/>
                <w:w w:val="105"/>
                <w:sz w:val="20"/>
                <w:szCs w:val="20"/>
              </w:rPr>
              <w:t>2*1000 м</w:t>
            </w:r>
            <w:r>
              <w:rPr>
                <w:rFonts w:cs="Times New Roman" w:ascii="Times New Roman" w:hAnsi="Times New Roman"/>
                <w:w w:val="105"/>
                <w:sz w:val="20"/>
                <w:szCs w:val="20"/>
                <w:vertAlign w:val="superscript"/>
              </w:rPr>
              <w:t>3</w:t>
            </w:r>
          </w:p>
        </w:tc>
        <w:tc>
          <w:tcPr>
            <w:tcW w:w="100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154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Насосное оборудование в системах водоснабжения Туркменского муниципального округа Ставропольского края выполняют следующие задачи: забор оды из источника и подача в водопроводную сеть необходимого давления.</w:t>
      </w:r>
    </w:p>
    <w:p>
      <w:pPr>
        <w:pStyle w:val="Normal"/>
        <w:spacing w:lineRule="auto" w:line="240" w:before="0" w:after="0"/>
        <w:jc w:val="right"/>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Таблица 4.</w:t>
      </w:r>
    </w:p>
    <w:p>
      <w:pPr>
        <w:pStyle w:val="Normal"/>
        <w:spacing w:lineRule="auto" w:line="240" w:before="0" w:after="0"/>
        <w:jc w:val="center"/>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Характеристика насосного оборудования</w:t>
      </w:r>
    </w:p>
    <w:p>
      <w:pPr>
        <w:pStyle w:val="Normal"/>
        <w:spacing w:lineRule="auto" w:line="240" w:before="5" w:after="0"/>
        <w:rPr>
          <w:rFonts w:ascii="Times New Roman" w:hAnsi="Times New Roman" w:cs="Times New Roman"/>
          <w:sz w:val="5"/>
          <w:szCs w:val="5"/>
        </w:rPr>
      </w:pPr>
      <w:r>
        <w:rPr>
          <w:rFonts w:cs="Times New Roman" w:ascii="Times New Roman" w:hAnsi="Times New Roman"/>
          <w:sz w:val="5"/>
          <w:szCs w:val="5"/>
        </w:rPr>
      </w:r>
    </w:p>
    <w:tbl>
      <w:tblPr>
        <w:tblW w:w="9253" w:type="dxa"/>
        <w:jc w:val="left"/>
        <w:tblInd w:w="138" w:type="dxa"/>
        <w:tblLayout w:type="fixed"/>
        <w:tblCellMar>
          <w:top w:w="0" w:type="dxa"/>
          <w:left w:w="5" w:type="dxa"/>
          <w:bottom w:w="0" w:type="dxa"/>
          <w:right w:w="5" w:type="dxa"/>
        </w:tblCellMar>
        <w:tblLook w:val="04a0"/>
      </w:tblPr>
      <w:tblGrid>
        <w:gridCol w:w="1882"/>
        <w:gridCol w:w="1561"/>
        <w:gridCol w:w="1130"/>
        <w:gridCol w:w="1706"/>
        <w:gridCol w:w="1559"/>
        <w:gridCol w:w="1414"/>
      </w:tblGrid>
      <w:tr>
        <w:trPr>
          <w:trHeight w:val="474" w:hRule="atLeast"/>
        </w:trPr>
        <w:tc>
          <w:tcPr>
            <w:tcW w:w="18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20"/>
              <w:jc w:val="center"/>
              <w:rPr>
                <w:rFonts w:ascii="Times New Roman" w:hAnsi="Times New Roman" w:cs="Times New Roman"/>
                <w:spacing w:val="-4"/>
                <w:sz w:val="20"/>
                <w:szCs w:val="20"/>
              </w:rPr>
            </w:pPr>
            <w:r>
              <w:rPr>
                <w:rFonts w:cs="Times New Roman" w:ascii="Times New Roman" w:hAnsi="Times New Roman"/>
                <w:sz w:val="20"/>
                <w:szCs w:val="20"/>
              </w:rPr>
              <w:t>Насосная стан</w:t>
            </w:r>
            <w:r>
              <w:rPr>
                <w:rFonts w:cs="Times New Roman" w:ascii="Times New Roman" w:hAnsi="Times New Roman"/>
                <w:spacing w:val="-4"/>
                <w:sz w:val="20"/>
                <w:szCs w:val="20"/>
              </w:rPr>
              <w:t>ция</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2"/>
              <w:jc w:val="center"/>
              <w:rPr>
                <w:rFonts w:ascii="Times New Roman" w:hAnsi="Times New Roman" w:cs="Times New Roman"/>
                <w:sz w:val="20"/>
                <w:szCs w:val="20"/>
              </w:rPr>
            </w:pPr>
            <w:r>
              <w:rPr>
                <w:rFonts w:cs="Times New Roman" w:ascii="Times New Roman" w:hAnsi="Times New Roman"/>
                <w:sz w:val="20"/>
                <w:szCs w:val="20"/>
              </w:rPr>
              <w:t>Насос</w:t>
            </w:r>
          </w:p>
          <w:p>
            <w:pPr>
              <w:pStyle w:val="Normal"/>
              <w:spacing w:lineRule="auto" w:line="240" w:before="0" w:after="0"/>
              <w:ind w:right="22"/>
              <w:jc w:val="center"/>
              <w:rPr>
                <w:rFonts w:ascii="Times New Roman" w:hAnsi="Times New Roman" w:cs="Times New Roman"/>
                <w:spacing w:val="-2"/>
                <w:sz w:val="20"/>
                <w:szCs w:val="20"/>
              </w:rPr>
            </w:pPr>
            <w:r>
              <w:rPr>
                <w:rFonts w:cs="Times New Roman" w:ascii="Times New Roman" w:hAnsi="Times New Roman"/>
                <w:sz w:val="20"/>
                <w:szCs w:val="20"/>
              </w:rPr>
              <w:t xml:space="preserve">(тип, </w:t>
            </w:r>
            <w:r>
              <w:rPr>
                <w:rFonts w:cs="Times New Roman" w:ascii="Times New Roman" w:hAnsi="Times New Roman"/>
                <w:spacing w:val="-2"/>
                <w:sz w:val="20"/>
                <w:szCs w:val="20"/>
              </w:rPr>
              <w:t>модель)</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42"/>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Кол-во, </w:t>
            </w:r>
            <w:r>
              <w:rPr>
                <w:rFonts w:cs="Times New Roman" w:ascii="Times New Roman" w:hAnsi="Times New Roman"/>
                <w:spacing w:val="-4"/>
                <w:sz w:val="20"/>
                <w:szCs w:val="20"/>
              </w:rPr>
              <w:t>шт.</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Производитель-ность</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8"/>
              <w:jc w:val="center"/>
              <w:rPr>
                <w:rFonts w:ascii="Times New Roman" w:hAnsi="Times New Roman" w:cs="Times New Roman"/>
                <w:sz w:val="20"/>
                <w:szCs w:val="20"/>
              </w:rPr>
            </w:pPr>
            <w:r>
              <w:rPr>
                <w:rFonts w:cs="Times New Roman" w:ascii="Times New Roman" w:hAnsi="Times New Roman"/>
                <w:sz w:val="20"/>
                <w:szCs w:val="20"/>
              </w:rPr>
              <w:t>Режим</w:t>
            </w:r>
          </w:p>
          <w:p>
            <w:pPr>
              <w:pStyle w:val="Normal"/>
              <w:spacing w:lineRule="auto" w:line="240" w:before="0" w:after="0"/>
              <w:ind w:right="158"/>
              <w:jc w:val="center"/>
              <w:rPr>
                <w:rFonts w:ascii="Times New Roman" w:hAnsi="Times New Roman" w:cs="Times New Roman"/>
                <w:sz w:val="20"/>
                <w:szCs w:val="20"/>
              </w:rPr>
            </w:pPr>
            <w:r>
              <w:rPr>
                <w:rFonts w:cs="Times New Roman" w:ascii="Times New Roman" w:hAnsi="Times New Roman"/>
                <w:sz w:val="20"/>
                <w:szCs w:val="20"/>
              </w:rPr>
              <w:t>работы, ч</w:t>
            </w:r>
          </w:p>
        </w:tc>
        <w:tc>
          <w:tcPr>
            <w:tcW w:w="14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5"/>
              <w:jc w:val="center"/>
              <w:rPr>
                <w:rFonts w:ascii="Times New Roman" w:hAnsi="Times New Roman" w:cs="Times New Roman"/>
                <w:spacing w:val="-6"/>
                <w:sz w:val="20"/>
                <w:szCs w:val="20"/>
              </w:rPr>
            </w:pPr>
            <w:r>
              <w:rPr>
                <w:rFonts w:cs="Times New Roman" w:ascii="Times New Roman" w:hAnsi="Times New Roman"/>
                <w:sz w:val="20"/>
                <w:szCs w:val="20"/>
              </w:rPr>
              <w:t xml:space="preserve">Расход эл. </w:t>
            </w:r>
            <w:r>
              <w:rPr>
                <w:rFonts w:cs="Times New Roman" w:ascii="Times New Roman" w:hAnsi="Times New Roman"/>
                <w:spacing w:val="-2"/>
                <w:sz w:val="20"/>
                <w:szCs w:val="20"/>
              </w:rPr>
              <w:t xml:space="preserve">Энергии </w:t>
            </w:r>
            <w:r>
              <w:rPr>
                <w:rFonts w:cs="Times New Roman" w:ascii="Times New Roman" w:hAnsi="Times New Roman"/>
                <w:sz w:val="20"/>
                <w:szCs w:val="20"/>
              </w:rPr>
              <w:t xml:space="preserve">кВтч за 2023 </w:t>
            </w:r>
            <w:r>
              <w:rPr>
                <w:rFonts w:cs="Times New Roman" w:ascii="Times New Roman" w:hAnsi="Times New Roman"/>
                <w:spacing w:val="-6"/>
                <w:sz w:val="20"/>
                <w:szCs w:val="20"/>
              </w:rPr>
              <w:t>г.</w:t>
            </w:r>
          </w:p>
        </w:tc>
      </w:tr>
      <w:tr>
        <w:trPr>
          <w:trHeight w:val="385" w:hRule="atLeast"/>
        </w:trPr>
        <w:tc>
          <w:tcPr>
            <w:tcW w:w="18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НС № 5 п. Новоку</w:t>
            </w:r>
            <w:r>
              <w:rPr>
                <w:rFonts w:cs="Times New Roman" w:ascii="Times New Roman" w:hAnsi="Times New Roman"/>
                <w:spacing w:val="-2"/>
                <w:sz w:val="20"/>
                <w:szCs w:val="20"/>
              </w:rPr>
              <w:t>черлинский</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2" w:after="0"/>
              <w:ind w:right="92"/>
              <w:jc w:val="center"/>
              <w:rPr>
                <w:rFonts w:ascii="Times New Roman" w:hAnsi="Times New Roman" w:cs="Times New Roman"/>
                <w:sz w:val="20"/>
                <w:szCs w:val="20"/>
              </w:rPr>
            </w:pPr>
            <w:r>
              <w:rPr>
                <w:rFonts w:cs="Times New Roman" w:ascii="Times New Roman" w:hAnsi="Times New Roman"/>
                <w:sz w:val="20"/>
                <w:szCs w:val="20"/>
              </w:rPr>
              <w:t>ЦНС 180/85</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2" w:after="0"/>
              <w:jc w:val="center"/>
              <w:rPr>
                <w:rFonts w:ascii="Times New Roman" w:hAnsi="Times New Roman" w:cs="Times New Roman"/>
                <w:sz w:val="20"/>
                <w:szCs w:val="20"/>
              </w:rPr>
            </w:pPr>
            <w:r>
              <w:rPr>
                <w:rFonts w:cs="Times New Roman" w:ascii="Times New Roman" w:hAnsi="Times New Roman"/>
                <w:sz w:val="20"/>
                <w:szCs w:val="20"/>
              </w:rPr>
              <w:t>2</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2" w:after="0"/>
              <w:jc w:val="center"/>
              <w:rPr>
                <w:rFonts w:ascii="Times New Roman" w:hAnsi="Times New Roman" w:cs="Times New Roman"/>
                <w:sz w:val="20"/>
                <w:szCs w:val="20"/>
              </w:rPr>
            </w:pPr>
            <w:r>
              <w:rPr>
                <w:rFonts w:cs="Times New Roman" w:ascii="Times New Roman" w:hAnsi="Times New Roman"/>
                <w:sz w:val="20"/>
                <w:szCs w:val="20"/>
              </w:rPr>
              <w:t>360.0 м3/ч</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2" w:after="0"/>
              <w:ind w:right="136"/>
              <w:jc w:val="center"/>
              <w:rPr>
                <w:rFonts w:ascii="Times New Roman" w:hAnsi="Times New Roman" w:cs="Times New Roman"/>
                <w:spacing w:val="-6"/>
                <w:sz w:val="20"/>
                <w:szCs w:val="20"/>
              </w:rPr>
            </w:pPr>
            <w:r>
              <w:rPr>
                <w:rFonts w:cs="Times New Roman" w:ascii="Times New Roman" w:hAnsi="Times New Roman"/>
                <w:spacing w:val="-6"/>
                <w:sz w:val="20"/>
                <w:szCs w:val="20"/>
              </w:rPr>
              <w:t>24</w:t>
            </w:r>
          </w:p>
        </w:tc>
        <w:tc>
          <w:tcPr>
            <w:tcW w:w="14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2" w:after="0"/>
              <w:jc w:val="center"/>
              <w:rPr>
                <w:rFonts w:ascii="Times New Roman" w:hAnsi="Times New Roman" w:cs="Times New Roman"/>
                <w:spacing w:val="-2"/>
                <w:sz w:val="20"/>
                <w:szCs w:val="20"/>
              </w:rPr>
            </w:pPr>
            <w:r>
              <w:rPr>
                <w:rFonts w:cs="Times New Roman" w:ascii="Times New Roman" w:hAnsi="Times New Roman"/>
                <w:spacing w:val="-2"/>
                <w:sz w:val="20"/>
                <w:szCs w:val="20"/>
              </w:rPr>
              <w:t>260642,0</w:t>
            </w:r>
          </w:p>
        </w:tc>
      </w:tr>
      <w:tr>
        <w:trPr>
          <w:trHeight w:val="317" w:hRule="atLeast"/>
        </w:trPr>
        <w:tc>
          <w:tcPr>
            <w:tcW w:w="188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НС № 6 с. Кендже-</w:t>
            </w:r>
          </w:p>
          <w:p>
            <w:pPr>
              <w:pStyle w:val="Normal"/>
              <w:spacing w:lineRule="auto" w:line="240" w:before="41" w:after="0"/>
              <w:jc w:val="center"/>
              <w:rPr>
                <w:rFonts w:ascii="Times New Roman" w:hAnsi="Times New Roman" w:cs="Times New Roman"/>
                <w:spacing w:val="-2"/>
                <w:sz w:val="20"/>
                <w:szCs w:val="20"/>
              </w:rPr>
            </w:pPr>
            <w:r>
              <w:rPr>
                <w:rFonts w:cs="Times New Roman" w:ascii="Times New Roman" w:hAnsi="Times New Roman"/>
                <w:spacing w:val="-2"/>
                <w:sz w:val="20"/>
                <w:szCs w:val="20"/>
              </w:rPr>
              <w:t>Кулак</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2"/>
              <w:jc w:val="center"/>
              <w:rPr>
                <w:rFonts w:ascii="Times New Roman" w:hAnsi="Times New Roman" w:cs="Times New Roman"/>
                <w:sz w:val="20"/>
                <w:szCs w:val="20"/>
              </w:rPr>
            </w:pPr>
            <w:r>
              <w:rPr>
                <w:rFonts w:cs="Times New Roman" w:ascii="Times New Roman" w:hAnsi="Times New Roman"/>
                <w:sz w:val="20"/>
                <w:szCs w:val="20"/>
              </w:rPr>
              <w:t>ЦНС 105/98</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105.0 м3/ч</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58" w:after="0"/>
              <w:ind w:right="136"/>
              <w:jc w:val="center"/>
              <w:rPr>
                <w:rFonts w:ascii="Times New Roman" w:hAnsi="Times New Roman" w:cs="Times New Roman"/>
                <w:spacing w:val="-6"/>
                <w:sz w:val="20"/>
                <w:szCs w:val="20"/>
              </w:rPr>
            </w:pPr>
            <w:r>
              <w:rPr>
                <w:rFonts w:cs="Times New Roman" w:ascii="Times New Roman" w:hAnsi="Times New Roman"/>
                <w:spacing w:val="-6"/>
                <w:sz w:val="20"/>
                <w:szCs w:val="20"/>
              </w:rPr>
              <w:t>24</w:t>
            </w:r>
          </w:p>
        </w:tc>
        <w:tc>
          <w:tcPr>
            <w:tcW w:w="141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58" w:after="0"/>
              <w:jc w:val="center"/>
              <w:rPr>
                <w:rFonts w:ascii="Times New Roman" w:hAnsi="Times New Roman" w:cs="Times New Roman"/>
                <w:spacing w:val="-2"/>
                <w:sz w:val="20"/>
                <w:szCs w:val="20"/>
              </w:rPr>
            </w:pPr>
            <w:r>
              <w:rPr>
                <w:rFonts w:cs="Times New Roman" w:ascii="Times New Roman" w:hAnsi="Times New Roman"/>
                <w:spacing w:val="-2"/>
                <w:sz w:val="20"/>
                <w:szCs w:val="20"/>
              </w:rPr>
              <w:t>251520,0</w:t>
            </w:r>
          </w:p>
        </w:tc>
      </w:tr>
      <w:tr>
        <w:trPr>
          <w:trHeight w:val="227" w:hRule="atLeast"/>
        </w:trPr>
        <w:tc>
          <w:tcPr>
            <w:tcW w:w="188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rPr>
            </w:pPr>
            <w:r>
              <w:rPr>
                <w:sz w:val="20"/>
                <w:szCs w:val="20"/>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2"/>
              <w:jc w:val="center"/>
              <w:rPr>
                <w:rFonts w:ascii="Times New Roman" w:hAnsi="Times New Roman" w:cs="Times New Roman"/>
                <w:sz w:val="20"/>
                <w:szCs w:val="20"/>
              </w:rPr>
            </w:pPr>
            <w:r>
              <w:rPr>
                <w:rFonts w:cs="Times New Roman" w:ascii="Times New Roman" w:hAnsi="Times New Roman"/>
                <w:sz w:val="20"/>
                <w:szCs w:val="20"/>
              </w:rPr>
              <w:t>ЦНС 105/147</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105.0 м3/ч</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318" w:hRule="atLeast"/>
        </w:trPr>
        <w:tc>
          <w:tcPr>
            <w:tcW w:w="188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НС № 8 с. Кендже-</w:t>
            </w:r>
          </w:p>
          <w:p>
            <w:pPr>
              <w:pStyle w:val="Normal"/>
              <w:spacing w:lineRule="auto" w:line="240" w:before="40" w:after="0"/>
              <w:jc w:val="center"/>
              <w:rPr>
                <w:rFonts w:ascii="Times New Roman" w:hAnsi="Times New Roman" w:cs="Times New Roman"/>
                <w:spacing w:val="-2"/>
                <w:sz w:val="20"/>
                <w:szCs w:val="20"/>
              </w:rPr>
            </w:pPr>
            <w:r>
              <w:rPr>
                <w:rFonts w:cs="Times New Roman" w:ascii="Times New Roman" w:hAnsi="Times New Roman"/>
                <w:spacing w:val="-2"/>
                <w:sz w:val="20"/>
                <w:szCs w:val="20"/>
              </w:rPr>
              <w:t>Кулак</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2"/>
              <w:jc w:val="center"/>
              <w:rPr>
                <w:rFonts w:ascii="Times New Roman" w:hAnsi="Times New Roman" w:cs="Times New Roman"/>
                <w:sz w:val="20"/>
                <w:szCs w:val="20"/>
              </w:rPr>
            </w:pPr>
            <w:r>
              <w:rPr>
                <w:rFonts w:cs="Times New Roman" w:ascii="Times New Roman" w:hAnsi="Times New Roman"/>
                <w:sz w:val="20"/>
                <w:szCs w:val="20"/>
              </w:rPr>
              <w:t>ЦНС 60/88</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60.0 м3/ч</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60" w:after="0"/>
              <w:ind w:right="136"/>
              <w:jc w:val="center"/>
              <w:rPr>
                <w:rFonts w:ascii="Times New Roman" w:hAnsi="Times New Roman" w:cs="Times New Roman"/>
                <w:spacing w:val="-6"/>
                <w:sz w:val="20"/>
                <w:szCs w:val="20"/>
              </w:rPr>
            </w:pPr>
            <w:r>
              <w:rPr>
                <w:rFonts w:cs="Times New Roman" w:ascii="Times New Roman" w:hAnsi="Times New Roman"/>
                <w:spacing w:val="-6"/>
                <w:sz w:val="20"/>
                <w:szCs w:val="20"/>
              </w:rPr>
              <w:t>24</w:t>
            </w:r>
          </w:p>
        </w:tc>
        <w:tc>
          <w:tcPr>
            <w:tcW w:w="141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60" w:after="0"/>
              <w:jc w:val="center"/>
              <w:rPr>
                <w:rFonts w:ascii="Times New Roman" w:hAnsi="Times New Roman" w:cs="Times New Roman"/>
                <w:spacing w:val="-2"/>
                <w:sz w:val="20"/>
                <w:szCs w:val="20"/>
              </w:rPr>
            </w:pPr>
            <w:r>
              <w:rPr>
                <w:rFonts w:cs="Times New Roman" w:ascii="Times New Roman" w:hAnsi="Times New Roman"/>
                <w:spacing w:val="-2"/>
                <w:sz w:val="20"/>
                <w:szCs w:val="20"/>
              </w:rPr>
              <w:t>40050,0</w:t>
            </w:r>
          </w:p>
        </w:tc>
      </w:tr>
      <w:tr>
        <w:trPr>
          <w:trHeight w:val="179" w:hRule="atLeast"/>
        </w:trPr>
        <w:tc>
          <w:tcPr>
            <w:tcW w:w="188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rPr>
            </w:pPr>
            <w:r>
              <w:rPr>
                <w:sz w:val="20"/>
                <w:szCs w:val="20"/>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2"/>
              <w:jc w:val="center"/>
              <w:rPr>
                <w:rFonts w:ascii="Times New Roman" w:hAnsi="Times New Roman" w:cs="Times New Roman"/>
                <w:sz w:val="20"/>
                <w:szCs w:val="20"/>
              </w:rPr>
            </w:pPr>
            <w:r>
              <w:rPr>
                <w:rFonts w:cs="Times New Roman" w:ascii="Times New Roman" w:hAnsi="Times New Roman"/>
                <w:sz w:val="20"/>
                <w:szCs w:val="20"/>
              </w:rPr>
              <w:t>ЦНС 60/132</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60.0 м3/ч</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315" w:hRule="atLeast"/>
        </w:trPr>
        <w:tc>
          <w:tcPr>
            <w:tcW w:w="18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НС № 7 п. Ясный</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2"/>
              <w:jc w:val="center"/>
              <w:rPr>
                <w:rFonts w:ascii="Times New Roman" w:hAnsi="Times New Roman" w:cs="Times New Roman"/>
                <w:sz w:val="20"/>
                <w:szCs w:val="20"/>
              </w:rPr>
            </w:pPr>
            <w:r>
              <w:rPr>
                <w:rFonts w:cs="Times New Roman" w:ascii="Times New Roman" w:hAnsi="Times New Roman"/>
                <w:sz w:val="20"/>
                <w:szCs w:val="20"/>
              </w:rPr>
              <w:t>ЦНС 38/88</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17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76.0 м3/ч</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6"/>
              <w:jc w:val="center"/>
              <w:rPr>
                <w:rFonts w:ascii="Times New Roman" w:hAnsi="Times New Roman" w:cs="Times New Roman"/>
                <w:spacing w:val="-6"/>
                <w:sz w:val="20"/>
                <w:szCs w:val="20"/>
              </w:rPr>
            </w:pPr>
            <w:r>
              <w:rPr>
                <w:rFonts w:cs="Times New Roman" w:ascii="Times New Roman" w:hAnsi="Times New Roman"/>
                <w:spacing w:val="-6"/>
                <w:sz w:val="20"/>
                <w:szCs w:val="20"/>
              </w:rPr>
              <w:t>24</w:t>
            </w:r>
          </w:p>
        </w:tc>
        <w:tc>
          <w:tcPr>
            <w:tcW w:w="14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33 723,0</w:t>
            </w:r>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Туркменском муниципальном округе Ставропольского края система централизованного горячего водоснабжения отсутствует.</w:t>
      </w:r>
    </w:p>
    <w:p>
      <w:pPr>
        <w:pStyle w:val="Normal"/>
        <w:spacing w:lineRule="auto" w:line="240" w:before="0" w:after="0"/>
        <w:ind w:firstLine="567"/>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2.2. Характеристика существующего состояния системы водоотведения</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Централизованное водоотведение в Туркменском муниципальном округе отсутствует. Сброс сточных вод от населения и социальных объектов, осуществляется в выгребы ямы и уборные с последующим вывозом ассенизаторскими машинами на специализированную площадку по согласованию с органами Роспотребнадзора.</w:t>
      </w:r>
    </w:p>
    <w:p>
      <w:pPr>
        <w:pStyle w:val="Normal"/>
        <w:spacing w:lineRule="auto" w:line="240" w:before="0" w:after="0"/>
        <w:ind w:firstLine="567"/>
        <w:jc w:val="both"/>
        <w:rPr>
          <w:rFonts w:ascii="Times New Roman" w:hAnsi="Times New Roman" w:eastAsia="Times New Roman" w:cs="Times New Roman"/>
          <w:sz w:val="24"/>
          <w:szCs w:val="28"/>
        </w:rPr>
      </w:pPr>
      <w:r>
        <w:rPr>
          <w:rFonts w:eastAsia="Times New Roman" w:cs="Times New Roman" w:ascii="Times New Roman" w:hAnsi="Times New Roman"/>
          <w:sz w:val="24"/>
          <w:szCs w:val="28"/>
        </w:rPr>
        <w:t>Неэффективная система водоотведения и очистки сточных вод является одной из наиболее острых проблем в округе и в целом в Ставропольском крае.</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Соответственно технологической зоной водоотведения является шесть зон, частично обеспеченных централизованным водоотведением.</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Структура системы сбора, очистки и отведения сточных вод состоит из следующих основных элементов:</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Канализационные сети – 7421 метров.</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Туркменский муниципальный округ относится к зоне с децентрализованным водоотведением.</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Очистные сооружения отсутствуют.</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На территории поселков Красный Маныч и Ясный протяженные канализационные сети, длиной 3944 и 3477 метров не эксплуатируются, так как находятся в критическом состоянии.</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Канализационные коллекторы отсутствуют.</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В связи с тем, что централизованная канализация у населения отсутствует, то существует риск загрязнения грунтовых вод, что в свою очередь, возможно приведёт к заболеваниям среди местных жителей.</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Отсутствие канализационной сети на большей территории Туркменского муниципального округа, создает определенные трудности населению, ухудшая их бытовые условия.</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Вся территория Туркменского муниципального округа не охвачена централизованной системой водоотведения.</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Основные проблемы системы водоотведения поселения округа:</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-отсутствие централизованной системы водоотведения на всей территории сельского поселения;</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-отсутствие канализационных очистных сооружений.</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На территории Туркменского муниципального округа централизованная канализация отсутствует.</w:t>
      </w:r>
    </w:p>
    <w:p>
      <w:pPr>
        <w:pStyle w:val="Normal"/>
        <w:tabs>
          <w:tab w:val="clear" w:pos="708"/>
          <w:tab w:val="left" w:pos="851" w:leader="none"/>
        </w:tabs>
        <w:spacing w:lineRule="auto" w:line="240" w:before="0" w:after="0"/>
        <w:ind w:firstLine="567"/>
        <w:jc w:val="both"/>
        <w:rPr>
          <w:rFonts w:ascii="Times New Roman" w:hAnsi="Times New Roman" w:cs="Times New Roman"/>
          <w:bCs/>
          <w:color w:themeColor="text1" w:val="000000"/>
          <w:sz w:val="24"/>
          <w:szCs w:val="28"/>
        </w:rPr>
      </w:pPr>
      <w:r>
        <w:rPr>
          <w:rFonts w:cs="Times New Roman" w:ascii="Times New Roman" w:hAnsi="Times New Roman"/>
          <w:bCs/>
          <w:color w:themeColor="text1" w:val="000000"/>
          <w:sz w:val="24"/>
          <w:szCs w:val="28"/>
        </w:rPr>
        <w:t>Объекты, планируемые к выводу из эксплуатации, отсутствуют.</w:t>
      </w:r>
    </w:p>
    <w:p>
      <w:pPr>
        <w:pStyle w:val="Normal"/>
        <w:tabs>
          <w:tab w:val="clear" w:pos="708"/>
          <w:tab w:val="left" w:pos="851" w:leader="none"/>
        </w:tabs>
        <w:spacing w:lineRule="auto" w:line="240" w:before="0" w:after="0"/>
        <w:ind w:firstLine="567"/>
        <w:rPr>
          <w:rFonts w:ascii="Times New Roman" w:hAnsi="Times New Roman" w:cs="Times New Roman"/>
          <w:bCs/>
          <w:color w:themeColor="text1" w:val="000000"/>
          <w:sz w:val="24"/>
          <w:szCs w:val="28"/>
        </w:rPr>
      </w:pPr>
      <w:r>
        <w:rPr>
          <w:rFonts w:cs="Times New Roman" w:ascii="Times New Roman" w:hAnsi="Times New Roman"/>
          <w:bCs/>
          <w:color w:themeColor="text1" w:val="000000"/>
          <w:sz w:val="24"/>
          <w:szCs w:val="28"/>
        </w:rPr>
        <w:t>2.3. Характеристика существующего состояния системы теплоснабжения</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 территории Туркменского муниципального округа деятельность в области производства и передачи тепловой энергии осуществляет одна организация - ООО «Коммунальное хозяйство» Туркменского муниципального района Ставропольского края.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Сложившаяся система централизованного теплоснабжения в муниципальном округе включает в себя единый комплекс сооружений, основного котельного и вспомогательного оборудования, а также наружных инженерных коммуникаций.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 обслуживании населенные пункты: с. Летняя Ставка, п. Красный Маныч, с. Кендже Кулак, с. Кучерла, а. Куликовы Копани, с. Камбулат, с. Казгулак, с. Овощи, с. Малые Ягуры, п. Ясный.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Общая протяженность тепловых сетей 4,568 км в двухтрубном исполнении. Общая установленная мощность котельных 11342 Гкал. </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Изменение зон действия систем теплоснабжения и источников тепловой энергии не предусматривается. </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 территории Туркменского муниципального округа расположено пять основных котельных и 25 источников тепла по адресам:</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1. Центральная котельная с. Летняя Ставка, ул. Советская, б/н.</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Котельная является централизованной, работает без постоянного присутствия обслуживающего персонала. В настоящее время в котельной установлено 2 котла: </w:t>
      </w:r>
      <w:r>
        <w:rPr>
          <w:rFonts w:cs="Times New Roman" w:ascii="Times New Roman" w:hAnsi="Times New Roman"/>
          <w:sz w:val="24"/>
          <w:szCs w:val="28"/>
          <w:lang w:val="en-US"/>
        </w:rPr>
        <w:t>LamborghiniMegaPrexN</w:t>
      </w:r>
      <w:r>
        <w:rPr>
          <w:rFonts w:cs="Times New Roman" w:ascii="Times New Roman" w:hAnsi="Times New Roman"/>
          <w:sz w:val="24"/>
          <w:szCs w:val="28"/>
        </w:rPr>
        <w:t>1800. Производительность котла Lamborghini Mega Prex N1800, согласно паспортным данным, составляет 1,548 Гкал/час. Номинальная мощность котельной 3,096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в котельной. Резервное топливо не предусмотрено. Котельная работает только на отопление (4392 часов в году).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Общая протяженность сетей в двухтрубном исполнении на отопление 3608 п.м. Тепловая изоляция - отсутствует. Износ сети 57 %.</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2. Котельная п. Красный Маныч, пер. Казачий, 9.</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Котельная является централизованной, работает без постоянного присутствия обслуживающего персонала. В настоящее время в котельной установлено 2 котла: Ква-0,63. Производительность котла Ква-0,63, согласно паспортным данным, составляет 0,542 Гкал/час. Номинальная мощность котельной 1,084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в котельной. Резервное топливо не предусмотрено. Котельная работает только на отопление (4392 часов в году).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Общая протяженность сетей в двухтрубном исполнении на отопление 818 п.м. Тепловая изоляция - отсутствует. Износ сети 78 %.</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3. Котельная п. Ясный, ул. Школьная, 1.</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Котельная является централизованной, работает без постоянного присутствия обслуживающего персонала. В настоящее время в котельной установлено 3 котла: КОВ-100 СТн. Производительность котла КОВ-100 СТн, согласно паспортным данным, составляет 0,0843 Гкал/час. Номинальная мощность котельной 0,253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в котельной. Резервное топливо не предусмотрено. Котельная работает только на отопление (4392 часов в году).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Общая протяженность сетей в двухтрубном исполнении на отопление 160 п.м. Тепловая изоляция - отсутствует. Износ сети 12 %.</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4. Котельная с. Кендже-Кулак (МКДОУ № 14) ул. Школьная, 4.</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Котельная является индивидуальной, работает без постоянного присутствия обслуживающего персонала. В настоящее время в котельной установлено 2 котла: КОВ-100 СТн. Производительность котла КОВ-100 СТн, согласно паспортным данным, составляет 0,0843 Гкал/час. Номинальная мощность котельной 0,169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в котельной. Резервное топливо не предусмотрено. Котельная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5. Котельная с. Кендже-Кулак (МКОУ СОШ № 11), ул. Садовая, 17.</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Котельная является индивидуальной, работает без постоянного присутствия обслуживающего персонала. В настоящее время в котельной установлено 3 котла: КОВ-100 СТн. Производительность котла КОВ-100 СТн, согласно паспортным данным, составляет 0,0843 Гкал/час. Номинальная мощность котельной 0,253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в котельной. Резервное топливо не предусмотрено. Котельная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6. Источник теплоснабжения МКДОУ № 1 Теремок с. Летняя Ставка, ул. Лермонтова, 1.</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КСУВ-100. Производительность котла КСУВ-100, согласно паспортным данным, составляет 0,082 Гкал/час. Номинальная мощность источника 0,082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7. Источник теплоснабжения МКДОУ №15 п. Красный Маныч, ул. Школьная, 3.</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марки КСУВ-100. Производительность котла КСУВ-100, согласно паспортным данным, составляет 0,082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Резервное топливо не предусмотрено. Источника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8. Источник теплоснабжения МКОУ СОШ № 2 средняя школа с. Овощи, ул. Красная, 73.</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является индивидуальным, работает без постоянного присутствия обслуживающего персонала. В настоящее время на источнике установлены 2 котла: КСУВ-100 и КСУВ-150. Производительность котла КСУВ-100, согласно паспортным данным, составляет 0,082 Гкал/час, котла КСУВ-150 составляет 0,129 Гкал/час. Номинальная мощность источника 0,211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9. Источник теплоснабжения МКОУ СОШ №2 начальная школа с. Овощи, ул. Красная, 73.</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является индивидуальным, работает без постоянного присутствия обслуживающего персонала. В настоящее время на источнике установлен 1 котёл: КСУВ-40. Производительность котла КСУВ-40, согласно паспортным данным, составляет 0,031 Гкал/час. Номинальная мощность источника 0,031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10. Источник теплоснабжения МКОУ СОШ № 2 мастерские с. Овощи, ул. Красная, 73.</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является индивидуальным, работает без постоянного присутствия обслуживающего персонала. В настоящее время на источнике установлен 1 котёл: КСУВ-40. Производительность котла КСУВ-40, согласно паспортным данным, составляет 0,031 Гкал/час. Номинальная мощность источника 0,031 Гкал/час.</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Газ является основным видом топлива источника.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11. Источник теплоснабжения МКДОУ №3 с. Овощи, ул. Пролетарская, 60.</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КСУВ-150. Производительность котла КСУВ-150, согласно паспортным данным, составляет 0,129 Гкал/час. Номинальная мощность источника 0,129 Гкал/час.</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 xml:space="preserve">12. Источник теплоснабжения МБОУ СОШ № 3 с. Камбулат, пл. Свободы, 53. </w:t>
      </w:r>
    </w:p>
    <w:p>
      <w:pPr>
        <w:pStyle w:val="Normal"/>
        <w:spacing w:lineRule="auto" w:line="240" w:before="0" w:after="0"/>
        <w:ind w:firstLine="567"/>
        <w:jc w:val="both"/>
        <w:rPr>
          <w:rFonts w:ascii="Times New Roman" w:hAnsi="Times New Roman" w:cs="Times New Roman"/>
          <w:b/>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3 котла: КСУВ-40 (1шт.) и КСУВ-100 (2 шт.). Производительность котла КСУВ-100, согласно паспортным данным, составляет 0,082 Гкал/час, котла КСУВ-40 составляет 0,031 Гкал/час. Номинальная мощность источника 0,225 Гкал/час</w:t>
      </w:r>
      <w:r>
        <w:rPr>
          <w:rFonts w:cs="Times New Roman" w:ascii="Times New Roman" w:hAnsi="Times New Roman"/>
          <w:b/>
          <w:bCs/>
          <w:sz w:val="24"/>
          <w:szCs w:val="24"/>
        </w:rPr>
        <w:t>.</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13. Источник теплоснабжения ЦКиД с. Камбулат, пл. Свободы, 55.</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0,082 Гкал/час. Номинальная мощность источника 0,163 Гкал/час. 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14. Источник теплоснабжения участковая больница + хоз. блок с. Камбулат, пл. Свободы, 29.</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3 котла: КСУВ-40 (2 шт.) и КСУВ-100 (1 шт.). Производительность котла КСУВ-100, согласно паспортным данным, составляет 0,082 Гкал/час, котла КСУВ-40 составляет 0,031 Гкал/час. Номинальная мощность источника 0,144 Гкал/час. 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15. Источник теплоснабжения администрации с. Камбулат, пл. Свободы, 1.</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w:t>
      </w:r>
      <w:r>
        <w:rPr>
          <w:rFonts w:cs="Times New Roman" w:ascii="Times New Roman" w:hAnsi="Times New Roman"/>
          <w:sz w:val="24"/>
          <w:szCs w:val="24"/>
        </w:rPr>
        <w:t xml:space="preserve">сутствия </w:t>
      </w:r>
      <w:r>
        <w:rPr>
          <w:rFonts w:cs="Times New Roman" w:ascii="Times New Roman" w:hAnsi="Times New Roman"/>
          <w:bCs/>
          <w:sz w:val="24"/>
          <w:szCs w:val="24"/>
        </w:rPr>
        <w:t>обслуживающего персонала. В настоящее время на источнике установлен 1 котёл: КСУВ-40. Производительность котла КСУВ-40, согласно паспортным данным, составляет 0,031 Гкал/час. Номинальная мощность источника 0,031 Гкал/час.</w:t>
      </w:r>
    </w:p>
    <w:p>
      <w:pPr>
        <w:pStyle w:val="Normal"/>
        <w:spacing w:lineRule="auto" w:line="240" w:before="0" w:after="0"/>
        <w:ind w:firstLine="567"/>
        <w:jc w:val="both"/>
        <w:rPr>
          <w:rFonts w:ascii="Times New Roman" w:hAnsi="Times New Roman" w:cs="Times New Roman"/>
          <w:b/>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16. Источник теплоснабжения МКДОУ №4 с. Камбулат, пл. Свободы, 25.</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0,031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17. Источник теплоснабжения участковой больницы с. Кучерла, ул. Садовая, 18.</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КСУВ-40. Производительность котла КСУВ-40, согласно паспортным данным, составляет 0,031 Гкал/час. Номинальная мощность источника 0,062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18. Источник теплоснабжения МКОУ СОШ № 9 с. Кучерла, ул. Стадионная, 25.</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теплоснабжения является индивидуальным, работает без постоянного присутствия обслуживающего персонала. В настоящее время на источнике установлены 2 котла: КСУВ-150. Производительность котла КСУВ-150, согласно паспортным данным, составляет 0,129 Гкал/час. Номинальная мощность источника 0,258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19. Источник теплоснабжения ЦКиД с. Кучерла, ул. Стадионная, 17.</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КСУВ-100. Производительность котла КСУВ-100, согласно паспортным данным, составляет 0,082 Гкал/час. Номинальная мощность источника 0,082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20. Источник теплоснабжения МКДОУ № 12 с. Кучерла, ул. Стадионная, 27.</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0,031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21. Источник теплоснабжения ЦКиД а. Шарахалсун, ул. Молодежная, 83 в.</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Baxi LUNA3 280Fi. Производительность котла Baxi LUNA3 280Fi, согласно паспортным данным, составляет 0,024 Гкал/час. Номинальная мощность источника 0,048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22. Источник теплоснабжения МКОУ СОШ № 8 а. Куликовы-Копани, ул. Школьная, 10.</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0,082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23. Источник теплоснабжения МКДОУ № 11 а. Куликовы-Копани, ул. Чапаева, 4а</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КСУВ-100. Производительность котла КСУВ-100, согласно паспортным данным, составляет 0,082 Гкал/час. Номинальная мощность источника 0,082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24. Источник теплоснабжения ЦКиД а. Куликовы-Копани, ул. Горького,14.</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0,031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25. Источник теплоснабжения МКОУ СОШ №5 с. Казгулак, ул. Ленина, 88.</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КСУВ-150. Производительность котла КСУВ-150, согласно паспортным данным, составляет 0,129 Гкал/час. Номинальная мощность источника 0,258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26. Источник теплоснабжения ЦКиД с. Казгулак, ул. Ленина, 117.</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КСУВ-150. Производительность котла КСУВ-150, согласно паспортным данным, составляет 0,129 Гкал/час. Номинальная мощность источника 0,258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27. Источник теплоснабжения музыкальной школы с. Казгулак, пер. Пионерский, 22</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Baxi LUNA3 280Fi. Производительность котла Baxi LUNA3280Fi, согласно паспортным данным, составляет 0,022 Гкал/час. Номинальная мощность источника 0,022 Гкал/час.</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28. Источник теплоснабжения МБОУ СОШ №4 с. Малые Ягуры, ул. Пионерская, 18</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4 котла: КСУВ-100 (3 шт.) и КСУВ-40 (1 шт.). Производительность котла КСУВ-100, согласно паспортным данным, составляет 0,082 Гкал/час, котла КСУВ-40 составляет 0,031 Гкал/час. Номинальная мощность источника 0,144 Гкал/час.</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29. Источник теплоснабжения ЦКиД с. Малые Ягуры, ул. Пионерская, 29.</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установлены 2 котла: КСУВ-100. Производительность котла КСУВ-100, согласно паспортным данным, составляет 0,031 Гкал/час. Номинальная мощность источника 0,163 Гкал/час.</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 xml:space="preserve">30. Источник теплоснабжения здания гаражей ООО </w:t>
      </w:r>
      <w:r>
        <w:rPr>
          <w:rFonts w:cs="Times New Roman" w:ascii="Cambria Math" w:hAnsi="Cambria Math"/>
          <w:bCs/>
          <w:sz w:val="24"/>
          <w:szCs w:val="24"/>
        </w:rPr>
        <w:t>≪</w:t>
      </w:r>
      <w:r>
        <w:rPr>
          <w:rFonts w:cs="Times New Roman" w:ascii="Times New Roman" w:hAnsi="Times New Roman"/>
          <w:bCs/>
          <w:sz w:val="24"/>
          <w:szCs w:val="24"/>
        </w:rPr>
        <w:t>КХ</w:t>
      </w:r>
      <w:r>
        <w:rPr>
          <w:rFonts w:cs="Times New Roman" w:ascii="Cambria Math" w:hAnsi="Cambria Math"/>
          <w:bCs/>
          <w:sz w:val="24"/>
          <w:szCs w:val="24"/>
        </w:rPr>
        <w:t>≫</w:t>
      </w:r>
      <w:r>
        <w:rPr>
          <w:rFonts w:cs="Times New Roman" w:ascii="Times New Roman" w:hAnsi="Times New Roman"/>
          <w:bCs/>
          <w:sz w:val="24"/>
          <w:szCs w:val="24"/>
        </w:rPr>
        <w:t xml:space="preserve"> с. Летняя Ставка, ул. Аэродромная, 3А.</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Источник тепла является индивидуальным, работает без постоянного присутствия обслуживающего персонала. В настоящее время на источнике установлен 1 котёл: КСУВ-40. Производительность котла КСУВ-40, согласно паспортным данным, составляет 0,031 Гкал/час. Номинальная мощность источника 0,031 Гкал/час.</w:t>
      </w:r>
    </w:p>
    <w:p>
      <w:pPr>
        <w:pStyle w:val="Normal"/>
        <w:tabs>
          <w:tab w:val="clear" w:pos="708"/>
          <w:tab w:val="left" w:pos="851" w:leader="none"/>
        </w:tabs>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 является основным видом топлива. Резервное топливо не предусмотрено. Источник работает только на отопление (4392 часов в году).</w:t>
      </w:r>
    </w:p>
    <w:p>
      <w:pPr>
        <w:pStyle w:val="Normal"/>
        <w:tabs>
          <w:tab w:val="clear" w:pos="708"/>
          <w:tab w:val="left" w:pos="851" w:leader="none"/>
        </w:tabs>
        <w:spacing w:lineRule="auto" w:line="240" w:before="0" w:after="0"/>
        <w:jc w:val="right"/>
        <w:rPr>
          <w:rFonts w:ascii="Times New Roman" w:hAnsi="Times New Roman" w:cs="Times New Roman"/>
          <w:bCs/>
          <w:sz w:val="24"/>
          <w:szCs w:val="24"/>
        </w:rPr>
      </w:pPr>
      <w:r>
        <w:rPr>
          <w:rFonts w:cs="Times New Roman" w:ascii="Times New Roman" w:hAnsi="Times New Roman"/>
          <w:bCs/>
          <w:sz w:val="24"/>
          <w:szCs w:val="24"/>
        </w:rPr>
        <w:t>Таблица 5.</w:t>
      </w:r>
    </w:p>
    <w:p>
      <w:pPr>
        <w:pStyle w:val="Normal"/>
        <w:tabs>
          <w:tab w:val="clear" w:pos="708"/>
          <w:tab w:val="left" w:pos="851" w:leader="none"/>
        </w:tabs>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Сведения об основном, резервном и вспомогательным топливом, потребляемым перспективных источников тепловой энергии</w:t>
      </w:r>
    </w:p>
    <w:p>
      <w:pPr>
        <w:pStyle w:val="Normal"/>
        <w:spacing w:lineRule="auto" w:line="240" w:before="7" w:after="0"/>
        <w:rPr>
          <w:rFonts w:ascii="Times New Roman" w:hAnsi="Times New Roman" w:cs="Times New Roman"/>
          <w:sz w:val="9"/>
          <w:szCs w:val="9"/>
        </w:rPr>
      </w:pPr>
      <w:r>
        <w:rPr>
          <w:rFonts w:cs="Times New Roman" w:ascii="Times New Roman" w:hAnsi="Times New Roman"/>
          <w:sz w:val="9"/>
          <w:szCs w:val="9"/>
        </w:rPr>
      </w:r>
    </w:p>
    <w:tbl>
      <w:tblPr>
        <w:tblW w:w="9638" w:type="dxa"/>
        <w:jc w:val="left"/>
        <w:tblInd w:w="137" w:type="dxa"/>
        <w:tblLayout w:type="fixed"/>
        <w:tblCellMar>
          <w:top w:w="0" w:type="dxa"/>
          <w:left w:w="5" w:type="dxa"/>
          <w:bottom w:w="0" w:type="dxa"/>
          <w:right w:w="5" w:type="dxa"/>
        </w:tblCellMar>
        <w:tblLook w:val="04a0"/>
      </w:tblPr>
      <w:tblGrid>
        <w:gridCol w:w="504"/>
        <w:gridCol w:w="3222"/>
        <w:gridCol w:w="3542"/>
        <w:gridCol w:w="1225"/>
        <w:gridCol w:w="1145"/>
      </w:tblGrid>
      <w:tr>
        <w:trPr>
          <w:trHeight w:val="407"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п/п</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0"/>
              <w:jc w:val="center"/>
              <w:rPr>
                <w:rFonts w:ascii="Times New Roman" w:hAnsi="Times New Roman" w:cs="Times New Roman"/>
                <w:sz w:val="20"/>
                <w:szCs w:val="20"/>
              </w:rPr>
            </w:pPr>
            <w:r>
              <w:rPr>
                <w:rFonts w:cs="Times New Roman" w:ascii="Times New Roman" w:hAnsi="Times New Roman"/>
                <w:sz w:val="20"/>
                <w:szCs w:val="20"/>
              </w:rPr>
              <w:t>Наименование ТСО</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
              <w:jc w:val="center"/>
              <w:rPr>
                <w:rFonts w:ascii="Times New Roman" w:hAnsi="Times New Roman" w:cs="Times New Roman"/>
                <w:spacing w:val="-4"/>
                <w:sz w:val="20"/>
                <w:szCs w:val="20"/>
              </w:rPr>
            </w:pPr>
            <w:r>
              <w:rPr>
                <w:rFonts w:cs="Times New Roman" w:ascii="Times New Roman" w:hAnsi="Times New Roman"/>
                <w:sz w:val="20"/>
                <w:szCs w:val="20"/>
              </w:rPr>
              <w:t>Наименование и адрес котель</w:t>
            </w:r>
            <w:r>
              <w:rPr>
                <w:rFonts w:cs="Times New Roman" w:ascii="Times New Roman" w:hAnsi="Times New Roman"/>
                <w:spacing w:val="-4"/>
                <w:sz w:val="20"/>
                <w:szCs w:val="20"/>
              </w:rPr>
              <w:t>ной</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Основное</w:t>
            </w:r>
          </w:p>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топливо</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Резервное</w:t>
            </w:r>
          </w:p>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топливо</w:t>
            </w:r>
          </w:p>
        </w:tc>
      </w:tr>
      <w:tr>
        <w:trPr>
          <w:trHeight w:val="229"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r>
      <w:tr>
        <w:trPr>
          <w:trHeight w:val="559"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pacing w:val="-6"/>
                <w:sz w:val="20"/>
                <w:szCs w:val="20"/>
              </w:rPr>
            </w:pPr>
            <w:r>
              <w:rPr>
                <w:rFonts w:cs="Times New Roman" w:ascii="Times New Roman" w:hAnsi="Times New Roman"/>
                <w:b/>
                <w:bCs/>
                <w:spacing w:val="-6"/>
                <w:sz w:val="20"/>
                <w:szCs w:val="20"/>
              </w:rPr>
              <w:t>1.</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jc w:val="both"/>
              <w:rPr>
                <w:rFonts w:ascii="Times New Roman" w:hAnsi="Times New Roman" w:cs="Times New Roman"/>
                <w:sz w:val="20"/>
                <w:szCs w:val="20"/>
              </w:rPr>
            </w:pPr>
            <w:r>
              <w:rPr>
                <w:rFonts w:cs="Times New Roman" w:ascii="Times New Roman" w:hAnsi="Times New Roman"/>
                <w:sz w:val="20"/>
                <w:szCs w:val="20"/>
              </w:rPr>
              <w:t>Центральная котельная с.Летняя Ставка, ул. Советская, б/н</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9"/>
              <w:jc w:val="both"/>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4"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2.</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jc w:val="both"/>
              <w:rPr>
                <w:rFonts w:ascii="Times New Roman" w:hAnsi="Times New Roman" w:cs="Times New Roman"/>
                <w:sz w:val="20"/>
                <w:szCs w:val="20"/>
              </w:rPr>
            </w:pPr>
            <w:r>
              <w:rPr>
                <w:rFonts w:cs="Times New Roman" w:ascii="Times New Roman" w:hAnsi="Times New Roman"/>
                <w:sz w:val="20"/>
                <w:szCs w:val="20"/>
              </w:rPr>
              <w:t>Котельная п.Красный Маныч, пер. Казачий, 9</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7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3.</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0"/>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w:t>
            </w:r>
          </w:p>
          <w:p>
            <w:pPr>
              <w:pStyle w:val="Normal"/>
              <w:spacing w:lineRule="auto" w:line="240" w:before="0" w:after="0"/>
              <w:ind w:right="88"/>
              <w:jc w:val="both"/>
              <w:rPr>
                <w:rFonts w:ascii="Times New Roman" w:hAnsi="Times New Roman" w:cs="Times New Roman"/>
                <w:sz w:val="20"/>
                <w:szCs w:val="20"/>
              </w:rPr>
            </w:pPr>
            <w:r>
              <w:rPr>
                <w:rFonts w:cs="Times New Roman" w:ascii="Times New Roman" w:hAnsi="Times New Roman"/>
                <w:sz w:val="20"/>
                <w:szCs w:val="20"/>
              </w:rPr>
              <w:t>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jc w:val="both"/>
              <w:rPr>
                <w:rFonts w:ascii="Times New Roman" w:hAnsi="Times New Roman" w:cs="Times New Roman"/>
                <w:spacing w:val="-10"/>
                <w:sz w:val="20"/>
                <w:szCs w:val="20"/>
              </w:rPr>
            </w:pPr>
            <w:r>
              <w:rPr>
                <w:rFonts w:cs="Times New Roman" w:ascii="Times New Roman" w:hAnsi="Times New Roman"/>
                <w:sz w:val="20"/>
                <w:szCs w:val="20"/>
              </w:rPr>
              <w:t xml:space="preserve">Котельная п.Ясный, ул.Школьная, </w:t>
            </w:r>
            <w:r>
              <w:rPr>
                <w:rFonts w:cs="Times New Roman" w:ascii="Times New Roman" w:hAnsi="Times New Roman"/>
                <w:spacing w:val="-10"/>
                <w:sz w:val="20"/>
                <w:szCs w:val="20"/>
              </w:rPr>
              <w:t>1</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00"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4.</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Котельная с.Кендже-Кулак (МКДОУ №14) ул. Школьная, 4</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3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5.</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Котельная с. Кендже-Кулак (МКОУ СОШ №11), ул. Садовая, 17</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79"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6.</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МКДОУ №1 Теремок с. Летняя Ставка, ул. Лермонтова, 1</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59"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7.</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Источник теплоснабжения МКДОУ №15 п. Красный Маныч, ул. Школьная, 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6"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8.</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СОШ№2средняяшколас.Овощи, ул. Красная, 73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33"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6"/>
                <w:sz w:val="20"/>
                <w:szCs w:val="20"/>
              </w:rPr>
            </w:pPr>
            <w:r>
              <w:rPr>
                <w:rFonts w:cs="Times New Roman" w:ascii="Times New Roman" w:hAnsi="Times New Roman"/>
                <w:spacing w:val="-6"/>
                <w:sz w:val="20"/>
                <w:szCs w:val="20"/>
              </w:rPr>
              <w:t>9.</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2 начальная школа с.Овощи, ул. Красная, 73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9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10.</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№2 мастерские с.Овощи,ул. Красная, 73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1"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11.</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Источник теплоснабжения МКДОУ № 3 с. Овощи, ул. Пролетарская, 60</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16"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0"/>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w:t>
            </w:r>
          </w:p>
          <w:p>
            <w:pPr>
              <w:pStyle w:val="Normal"/>
              <w:spacing w:lineRule="auto" w:line="240" w:before="0" w:after="0"/>
              <w:ind w:right="88"/>
              <w:jc w:val="both"/>
              <w:rPr>
                <w:rFonts w:ascii="Times New Roman" w:hAnsi="Times New Roman" w:cs="Times New Roman"/>
                <w:sz w:val="20"/>
                <w:szCs w:val="20"/>
              </w:rPr>
            </w:pPr>
            <w:r>
              <w:rPr>
                <w:rFonts w:cs="Times New Roman" w:ascii="Times New Roman" w:hAnsi="Times New Roman"/>
                <w:sz w:val="20"/>
                <w:szCs w:val="20"/>
              </w:rPr>
              <w:t>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9"/>
              <w:rPr>
                <w:rFonts w:ascii="Times New Roman" w:hAnsi="Times New Roman" w:cs="Times New Roman"/>
                <w:spacing w:val="-6"/>
                <w:sz w:val="20"/>
                <w:szCs w:val="20"/>
              </w:rPr>
            </w:pPr>
            <w:r>
              <w:rPr>
                <w:rFonts w:cs="Times New Roman" w:ascii="Times New Roman" w:hAnsi="Times New Roman"/>
                <w:sz w:val="20"/>
                <w:szCs w:val="20"/>
              </w:rPr>
              <w:t xml:space="preserve">Источник теплоснабжения МБОУ СОШ №3 с.Камбулат,пл.Свободы, </w:t>
            </w:r>
            <w:r>
              <w:rPr>
                <w:rFonts w:cs="Times New Roman" w:ascii="Times New Roman" w:hAnsi="Times New Roman"/>
                <w:spacing w:val="-6"/>
                <w:sz w:val="20"/>
                <w:szCs w:val="20"/>
              </w:rPr>
              <w:t>53</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4"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13.</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Камбулат,  пл. Свободы, 55</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742"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14.</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0"/>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
              <w:rPr>
                <w:rFonts w:ascii="Times New Roman" w:hAnsi="Times New Roman" w:cs="Times New Roman"/>
                <w:sz w:val="20"/>
                <w:szCs w:val="20"/>
              </w:rPr>
            </w:pPr>
            <w:r>
              <w:rPr>
                <w:rFonts w:cs="Times New Roman" w:ascii="Times New Roman" w:hAnsi="Times New Roman"/>
                <w:sz w:val="20"/>
                <w:szCs w:val="20"/>
              </w:rPr>
              <w:t>Источник теплоснабжения участковая больница + хоз. блок с. Камбулат, пл. Свободы, 29</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0"/>
              <w:jc w:val="center"/>
              <w:rPr>
                <w:rFonts w:ascii="Times New Roman" w:hAnsi="Times New Roman" w:cs="Times New Roman"/>
                <w:spacing w:val="-2"/>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797"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15.</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администрации с. Камбулат, пл. Свободы, 1</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99"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16.</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Источник теплоснабжения МКДОУ № 4 с. Камбулат, пл. Свободы, 25</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37"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17.</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участковая больница с. Кучерла, ул. Садовая, 18</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17"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18.</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СОШ№9с.Кучерла,ул.Стадионная, 25</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5"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19.</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Кучерла, ул. Стадионная, 17</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34"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20.</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Источник теплоснабжения МКДОУ № 12с.Кучерла,ул.Стадионная,27</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5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21.</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ЦКиД а. Шарахалсун, ул. Молодежная, 83 в</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24"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22.</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СОШ№8а.Куликовы-Копани,ул.Школьная, 10</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62"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Источник теплоснабжения МКДОУ № 11а.Куликовы-Копани,ул.Чапаева, 4а</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79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24.</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2"/>
              <w:rPr>
                <w:rFonts w:ascii="Times New Roman" w:hAnsi="Times New Roman" w:cs="Times New Roman"/>
                <w:sz w:val="20"/>
                <w:szCs w:val="20"/>
              </w:rPr>
            </w:pPr>
            <w:r>
              <w:rPr>
                <w:rFonts w:cs="Times New Roman" w:ascii="Times New Roman" w:hAnsi="Times New Roman"/>
                <w:sz w:val="20"/>
                <w:szCs w:val="20"/>
              </w:rPr>
              <w:t>Источник теплоснабжения ЦКиД а. Куликовы-Копани,ул.Горького,14</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41"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25.</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pacing w:val="-6"/>
                <w:sz w:val="20"/>
                <w:szCs w:val="20"/>
              </w:rPr>
            </w:pPr>
            <w:r>
              <w:rPr>
                <w:rFonts w:cs="Times New Roman" w:ascii="Times New Roman" w:hAnsi="Times New Roman"/>
                <w:sz w:val="20"/>
                <w:szCs w:val="20"/>
              </w:rPr>
              <w:t xml:space="preserve">Источник теплоснабжения МКОУ СОШ № 5с.Казгулак,ул.Ленина, </w:t>
            </w:r>
            <w:r>
              <w:rPr>
                <w:rFonts w:cs="Times New Roman" w:ascii="Times New Roman" w:hAnsi="Times New Roman"/>
                <w:spacing w:val="-6"/>
                <w:sz w:val="20"/>
                <w:szCs w:val="20"/>
              </w:rPr>
              <w:t>88</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21"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26.</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Казгулак, ул. Ленина, 117</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44"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27.</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музыкальной школы с.Казгулак, пер. Пионерский, 22</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63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28.</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МБОУ СОШ № 4 с.Малые Ягуры,ул.Пионерская, 18</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54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29.</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0"/>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w:t>
            </w:r>
          </w:p>
          <w:p>
            <w:pPr>
              <w:pStyle w:val="Normal"/>
              <w:spacing w:lineRule="auto" w:line="240" w:before="0" w:after="0"/>
              <w:ind w:right="88"/>
              <w:jc w:val="both"/>
              <w:rPr>
                <w:rFonts w:ascii="Times New Roman" w:hAnsi="Times New Roman" w:cs="Times New Roman"/>
                <w:sz w:val="20"/>
                <w:szCs w:val="20"/>
              </w:rPr>
            </w:pPr>
            <w:r>
              <w:rPr>
                <w:rFonts w:cs="Times New Roman" w:ascii="Times New Roman" w:hAnsi="Times New Roman"/>
                <w:sz w:val="20"/>
                <w:szCs w:val="20"/>
              </w:rPr>
              <w:t>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Малые Ягуры, ул. Пионерская, 29</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r>
        <w:trPr>
          <w:trHeight w:val="798" w:hRule="atLeast"/>
        </w:trPr>
        <w:tc>
          <w:tcPr>
            <w:tcW w:w="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30.</w:t>
            </w:r>
          </w:p>
        </w:tc>
        <w:tc>
          <w:tcPr>
            <w:tcW w:w="3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8"/>
              <w:jc w:val="both"/>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35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
              <w:rPr>
                <w:rFonts w:ascii="Times New Roman" w:hAnsi="Times New Roman" w:cs="Times New Roman"/>
                <w:sz w:val="20"/>
                <w:szCs w:val="20"/>
              </w:rPr>
            </w:pPr>
            <w:r>
              <w:rPr>
                <w:rFonts w:cs="Times New Roman" w:ascii="Times New Roman" w:hAnsi="Times New Roman"/>
                <w:sz w:val="20"/>
                <w:szCs w:val="20"/>
              </w:rPr>
              <w:t>Источник теплоснабжения здания гаражей ООО«КХ» с.ЛетняяСтавка, ул. Аэродромная, 3А</w:t>
            </w:r>
          </w:p>
        </w:tc>
        <w:tc>
          <w:tcPr>
            <w:tcW w:w="12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2"/>
                <w:sz w:val="20"/>
                <w:szCs w:val="20"/>
              </w:rPr>
              <w:t xml:space="preserve">Природный </w:t>
            </w:r>
            <w:r>
              <w:rPr>
                <w:rFonts w:cs="Times New Roman" w:ascii="Times New Roman" w:hAnsi="Times New Roman"/>
                <w:spacing w:val="-4"/>
                <w:sz w:val="20"/>
                <w:szCs w:val="20"/>
              </w:rPr>
              <w:t>газ</w:t>
            </w:r>
          </w:p>
        </w:tc>
        <w:tc>
          <w:tcPr>
            <w:tcW w:w="11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tc>
      </w:tr>
    </w:tbl>
    <w:p>
      <w:pPr>
        <w:pStyle w:val="Normal"/>
        <w:tabs>
          <w:tab w:val="clear" w:pos="708"/>
          <w:tab w:val="left" w:pos="851" w:leader="none"/>
        </w:tabs>
        <w:spacing w:lineRule="auto" w:line="240" w:before="0" w:after="0"/>
        <w:ind w:firstLine="567"/>
        <w:rPr>
          <w:rFonts w:ascii="Times New Roman" w:hAnsi="Times New Roman" w:cs="Times New Roman"/>
          <w:bCs/>
          <w:sz w:val="24"/>
          <w:szCs w:val="28"/>
        </w:rPr>
      </w:pPr>
      <w:r>
        <w:rPr>
          <w:rFonts w:cs="Times New Roman" w:ascii="Times New Roman" w:hAnsi="Times New Roman"/>
          <w:bCs/>
          <w:sz w:val="24"/>
          <w:szCs w:val="28"/>
        </w:rPr>
        <w:t>2.4. Характеристика существующего состояния системы электроснабжения</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Собственных генерирующих источников на территории Туркменского муниципального округа нет.</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 территории муниципального округа электроснабжение осуществляют следующие организации:</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Туркменские районные электрические сети (далее – РЭС) структурное подразделение Светлоградских электрических сетей Филиала ПАО «Россети Северный Кавказ»-«Ставропольэнерго».</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Участок с. Летняя Ставка филиала акционерного общества «Ставэлектросеть» г. Светлоград.</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Электроснабжение округа осуществляется от 8 подстанция ПАО «Россети СЕВЕРНЫЙ КАВКАЗ»-«Ставропольэнерго». Система электроснабжения имеет разветвленную сеть, обеспечивающую электроэнергией население и предприятия округа.</w:t>
      </w:r>
    </w:p>
    <w:p>
      <w:pPr>
        <w:pStyle w:val="Normal"/>
        <w:spacing w:lineRule="auto" w:line="240" w:before="0" w:after="0"/>
        <w:ind w:firstLine="567"/>
        <w:jc w:val="both"/>
        <w:rPr>
          <w:rFonts w:ascii="Times New Roman" w:hAnsi="Times New Roman" w:eastAsia="Times New Roman" w:cs="Times New Roman"/>
          <w:sz w:val="24"/>
          <w:szCs w:val="28"/>
          <w:lang w:eastAsia="ru-RU"/>
        </w:rPr>
      </w:pPr>
      <w:bookmarkStart w:id="1" w:name="_Hlk219472070"/>
      <w:r>
        <w:rPr>
          <w:rFonts w:eastAsia="Times New Roman" w:cs="Times New Roman" w:ascii="Times New Roman" w:hAnsi="Times New Roman"/>
          <w:sz w:val="24"/>
          <w:szCs w:val="28"/>
          <w:lang w:eastAsia="ru-RU"/>
        </w:rPr>
        <w:t>Населенные пункты Туркменского муниципального округа полностью обеспеченны электроэнергией</w:t>
      </w:r>
      <w:bookmarkEnd w:id="1"/>
      <w:r>
        <w:rPr>
          <w:rFonts w:eastAsia="Times New Roman" w:cs="Times New Roman" w:ascii="Times New Roman" w:hAnsi="Times New Roman"/>
          <w:sz w:val="24"/>
          <w:szCs w:val="28"/>
          <w:lang w:eastAsia="ru-RU"/>
        </w:rPr>
        <w:t xml:space="preserve">. </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Туркменскими РЭС обслуживаются 23 населенных пункта, в том числе: п. Горный Петровского муниципального округа, п. Берёзовский, п. Владимировка, п. Голубиный, </w:t>
      </w:r>
    </w:p>
    <w:p>
      <w:pPr>
        <w:pStyle w:val="Normal"/>
        <w:spacing w:lineRule="auto" w:line="240" w:before="0" w:after="0"/>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с. Казгулак, с. Камбулат, с. Кендже-Кулак, п. Красная Поляна, п. Красный Маныч, а. Куликово-Копани, с. Кучерла, с. Малые Ягуры, а. Маштак-Кулак, п. Новокучерлинский, п. Новорагулинский, с. Овощи, п. Отрадный, п. Поперечный, п. Прудовый, а. Сабан Антуста, п. Таврический, а. Шарахалсун, п. Ясный.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Общая протяжённость электрических сетей Туркменских РЭС - 1248,55 км.</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Количество трансформаторных подстанций - 262 шт.</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Количество обслуживаемых потребителей: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w:t>
      </w:r>
      <w:r>
        <w:rPr>
          <w:rFonts w:eastAsia="Times New Roman" w:cs="Times New Roman" w:ascii="Times New Roman" w:hAnsi="Times New Roman"/>
          <w:sz w:val="24"/>
          <w:szCs w:val="28"/>
          <w:lang w:eastAsia="ru-RU"/>
        </w:rPr>
        <w:tab/>
        <w:t xml:space="preserve"> физических (6561),</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 </w:t>
      </w:r>
      <w:r>
        <w:rPr>
          <w:rFonts w:eastAsia="Times New Roman" w:cs="Times New Roman" w:ascii="Times New Roman" w:hAnsi="Times New Roman"/>
          <w:sz w:val="24"/>
          <w:szCs w:val="28"/>
          <w:lang w:eastAsia="ru-RU"/>
        </w:rPr>
        <w:t>юридических лиц (677).</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На территории округа находятся: </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Камбулат 110/10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Казгулак 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Овощи 110/10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Летняя Ставка 110/35/10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п. Ясный 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Кучерла 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с. Кендже – Кулак 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ПС п. Красный Маныч 35/10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НС 17 Т в районе п. Прудовый 35/6 кВ.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Зона обслуживания филиала акционерного общества «Ставэлектросеть» г. Светлоград – с. Летняя Ставка, а. Чур.</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Протяженность электрических сетей – ВЛ-10 кВ-24,089 км., ВО-0,4 кВ-45,881 км., КЛ-10 кв-0,3 км.</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xml:space="preserve">Трансформаторных подстанций на балансе участка с. Летняя Ставка – 27 штук. </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Перечень ВЛ 35-110 кВ расположенных на территории Туркменского муниципального округа представлен в таблице 6.</w:t>
      </w:r>
    </w:p>
    <w:p>
      <w:pPr>
        <w:pStyle w:val="Normal"/>
        <w:spacing w:lineRule="auto" w:line="240" w:before="0" w:after="0"/>
        <w:jc w:val="right"/>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Таблица 6.</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Перечень ВЛ 35-110 кВ расположенных на территории Туркменского муниципального округа</w:t>
      </w:r>
    </w:p>
    <w:p>
      <w:pPr>
        <w:pStyle w:val="Normal"/>
        <w:spacing w:lineRule="auto" w:line="240" w:before="0" w:after="0"/>
        <w:ind w:firstLine="567"/>
        <w:jc w:val="both"/>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tbl>
      <w:tblPr>
        <w:tblW w:w="9639" w:type="dxa"/>
        <w:jc w:val="left"/>
        <w:tblInd w:w="15" w:type="dxa"/>
        <w:tblLayout w:type="fixed"/>
        <w:tblCellMar>
          <w:top w:w="0" w:type="dxa"/>
          <w:left w:w="2" w:type="dxa"/>
          <w:bottom w:w="0" w:type="dxa"/>
          <w:right w:w="2" w:type="dxa"/>
        </w:tblCellMar>
        <w:tblLook w:val="04a0"/>
      </w:tblPr>
      <w:tblGrid>
        <w:gridCol w:w="1415"/>
        <w:gridCol w:w="988"/>
        <w:gridCol w:w="2990"/>
        <w:gridCol w:w="1275"/>
        <w:gridCol w:w="1422"/>
        <w:gridCol w:w="1548"/>
      </w:tblGrid>
      <w:tr>
        <w:trPr>
          <w:trHeight w:val="382"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Инвентарный номер</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Дисп. обозн. ВЛ</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подстанций ВЛ</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Год ввода</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Длина ВЛ, км</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Длина ВЛ по району, км</w:t>
            </w:r>
          </w:p>
        </w:tc>
      </w:tr>
      <w:tr>
        <w:trPr>
          <w:trHeight w:val="260" w:hRule="atLeast"/>
        </w:trPr>
        <w:tc>
          <w:tcPr>
            <w:tcW w:w="9638" w:type="dxa"/>
            <w:gridSpan w:val="6"/>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ВЛ-110 кВ</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36626</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Л-61</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Светлоград - Камбулат</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1965</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17,3</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5,6</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333002</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Л-62</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Летняя Ставка - Восход</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1995</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25,9</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17,1</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36628</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Л-68</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Овощи - Летняя Ставка</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1995</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16,83</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16,83</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36591</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Л-157</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Восход - Рагули</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1980</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43,8</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20,1</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36624</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Л-272</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Камбулат - Овощи</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1999</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22,4</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22,4</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8"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127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22"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548"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Всего 82.03</w:t>
            </w:r>
          </w:p>
        </w:tc>
      </w:tr>
      <w:tr>
        <w:trPr>
          <w:trHeight w:val="255" w:hRule="atLeast"/>
        </w:trPr>
        <w:tc>
          <w:tcPr>
            <w:tcW w:w="9638" w:type="dxa"/>
            <w:gridSpan w:val="6"/>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ВЛ-35 кВ</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36574</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Л-396</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Восход - Кендже Кулак</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1965</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23,6</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6,9</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36575</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Л-397</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К.Кулак - Рагули</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1967</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21,47</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8,8</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36602</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Л-413</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Летняя Ставка - Казгулак</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1974</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24,6</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24,6</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36644</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Л-416</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Айгурская - Степной Маяк</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1976</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1 1,5</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2,3</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36577</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Л-417</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Рагули - Красный Маныч</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1976</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17,5</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10,5</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36604</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Л-421</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Летняя Ставка - Кучерла</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1978</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21,94</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21,94</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36654</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Л-712</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Рагули - Степной Маяк</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1982</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16,4</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10,7</w:t>
            </w:r>
          </w:p>
        </w:tc>
      </w:tr>
      <w:tr>
        <w:trPr>
          <w:trHeight w:val="255"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36659</w:t>
            </w:r>
          </w:p>
        </w:tc>
        <w:tc>
          <w:tcPr>
            <w:tcW w:w="98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Л-719</w:t>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НС "Путь Ленина" - НС 17Т</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1986</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27</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27</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36587</w:t>
            </w:r>
          </w:p>
        </w:tc>
        <w:tc>
          <w:tcPr>
            <w:tcW w:w="988"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9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НС 17Т - НС Красный Маныч</w:t>
            </w:r>
          </w:p>
        </w:tc>
        <w:tc>
          <w:tcPr>
            <w:tcW w:w="1275"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1990</w:t>
            </w:r>
          </w:p>
        </w:tc>
        <w:tc>
          <w:tcPr>
            <w:tcW w:w="1422"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10,6</w:t>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10,6</w:t>
            </w:r>
          </w:p>
        </w:tc>
      </w:tr>
      <w:tr>
        <w:trPr>
          <w:trHeight w:val="260" w:hRule="atLeast"/>
        </w:trPr>
        <w:tc>
          <w:tcPr>
            <w:tcW w:w="141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8"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9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27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22"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5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Всего 123.34</w:t>
            </w:r>
          </w:p>
        </w:tc>
      </w:tr>
    </w:tbl>
    <w:p>
      <w:pPr>
        <w:pStyle w:val="Normal"/>
        <w:spacing w:lineRule="auto" w:line="240" w:before="0" w:after="0"/>
        <w:ind w:firstLine="567" w:right="-285"/>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2.5. Характеристика существующего состояния системы газоснабжения</w:t>
      </w:r>
    </w:p>
    <w:p>
      <w:pPr>
        <w:pStyle w:val="Normal"/>
        <w:spacing w:lineRule="auto" w:line="240" w:before="0" w:after="0"/>
        <w:ind w:firstLine="567" w:right="-285"/>
        <w:jc w:val="both"/>
        <w:rPr>
          <w:rFonts w:ascii="Times New Roman" w:hAnsi="Times New Roman" w:eastAsia="Times New Roman" w:cs="Times New Roman"/>
          <w:sz w:val="24"/>
          <w:szCs w:val="28"/>
          <w:lang w:eastAsia="ru-RU"/>
        </w:rPr>
      </w:pPr>
      <w:bookmarkStart w:id="2" w:name="_Hlk219472264"/>
      <w:r>
        <w:rPr>
          <w:rFonts w:eastAsia="Times New Roman" w:cs="Times New Roman" w:ascii="Times New Roman" w:hAnsi="Times New Roman"/>
          <w:sz w:val="24"/>
          <w:szCs w:val="28"/>
          <w:lang w:eastAsia="ru-RU"/>
        </w:rPr>
        <w:t xml:space="preserve">Газоснабжение потребителей на территории округа обеспечивает </w:t>
      </w:r>
      <w:bookmarkEnd w:id="2"/>
      <w:r>
        <w:rPr>
          <w:rFonts w:eastAsia="Times New Roman" w:cs="Times New Roman" w:ascii="Times New Roman" w:hAnsi="Times New Roman"/>
          <w:sz w:val="24"/>
          <w:szCs w:val="28"/>
          <w:lang w:eastAsia="ru-RU"/>
        </w:rPr>
        <w:t>АО «Туркменскрайгаз».</w:t>
      </w:r>
    </w:p>
    <w:p>
      <w:pPr>
        <w:pStyle w:val="Normal"/>
        <w:spacing w:lineRule="auto" w:line="240" w:before="0" w:after="0"/>
        <w:ind w:firstLine="567" w:right="-285"/>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Зона обслуживания: с. Летняя Ставка, а. Чур, пос. Березовка., пос. Владимировка, а. Маштак Кулак, с. Овощи, пос. Красная Поляна, пос. Отрадный, пос. Поперечный, с. Камбулат, с. Малые Ягуры, с. Кучерла, а. Шарахалсун, пос. Троицкий, пос. Красный Маныч, пос. Голубиный, с. Кендже-Кулак, пос. Таврический, с. Казгулак, пос. Ясный, а. Сабан Антуста, а. Куликово-Копани, пос. Ясный.</w:t>
      </w:r>
    </w:p>
    <w:p>
      <w:pPr>
        <w:pStyle w:val="Normal"/>
        <w:spacing w:lineRule="auto" w:line="240" w:before="0" w:after="0"/>
        <w:ind w:firstLine="567" w:right="-285"/>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 Туркменском МО котельные работают на природном газе. Проблемы организации газоснабжения отсутствуют.</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 xml:space="preserve">Источниками газоснабжения Туркменского </w:t>
      </w:r>
      <w:r>
        <w:rPr>
          <w:rFonts w:eastAsia="Times New Roman" w:cs="Times New Roman" w:ascii="Times New Roman" w:hAnsi="Times New Roman"/>
          <w:sz w:val="24"/>
          <w:szCs w:val="28"/>
          <w:lang w:eastAsia="ru-RU"/>
        </w:rPr>
        <w:t>муниципального округа</w:t>
      </w:r>
      <w:r>
        <w:rPr>
          <w:rFonts w:cs="Times New Roman" w:ascii="Times New Roman" w:hAnsi="Times New Roman"/>
          <w:sz w:val="24"/>
          <w:szCs w:val="28"/>
        </w:rPr>
        <w:t xml:space="preserve"> являются:</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 ГРС п. Троицкий;</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 ГРС с. Овощи;</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 ГРС с. Камбулат;</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 ГРС с. Кучерла.</w:t>
      </w:r>
    </w:p>
    <w:p>
      <w:pPr>
        <w:pStyle w:val="Normal"/>
        <w:spacing w:lineRule="auto" w:line="240" w:before="0" w:after="0"/>
        <w:ind w:firstLine="567" w:right="-285"/>
        <w:jc w:val="both"/>
        <w:rPr>
          <w:rFonts w:ascii="Times New Roman" w:hAnsi="Times New Roman" w:cs="Times New Roman"/>
          <w:sz w:val="24"/>
          <w:szCs w:val="28"/>
        </w:rPr>
      </w:pPr>
      <w:r>
        <w:rPr>
          <w:rFonts w:cs="Times New Roman" w:ascii="Times New Roman" w:hAnsi="Times New Roman"/>
          <w:sz w:val="24"/>
          <w:szCs w:val="28"/>
        </w:rPr>
        <w:t>По данным АО «Туркменскрайгаз» Туркменский муниципальный округ газифицирован на 99,7%.</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Количество обслуживаемых потребителей - физических лиц 7 382 абонентов, юридических лиц - 143 потребителя;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Период эксплуатации газовых сетей и объектов: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До 15 лет -39,15км;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от 15до 30 лет - 194,57км; от 30 до 40 лет - 246,79 км;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40 и более лет - 47,34.</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Классификация по давлению:</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Высокого давления 11 категории - 123,74км; Среднего давления - 76,02км;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Низкого давления - 328,09км.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На балансе АО «Туркменскрайгаз» ГРС отсутствуют.</w:t>
      </w:r>
    </w:p>
    <w:p>
      <w:pPr>
        <w:pStyle w:val="Normal"/>
        <w:spacing w:lineRule="auto" w:line="240" w:before="0" w:after="0"/>
        <w:ind w:firstLine="567"/>
        <w:jc w:val="both"/>
        <w:rPr>
          <w:rFonts w:ascii="Times New Roman" w:hAnsi="Times New Roman" w:cs="Times New Roman"/>
          <w:color w:val="000000"/>
          <w:sz w:val="24"/>
          <w:szCs w:val="28"/>
        </w:rPr>
      </w:pPr>
      <w:r>
        <w:rPr>
          <w:rFonts w:cs="Times New Roman" w:ascii="Times New Roman" w:hAnsi="Times New Roman"/>
          <w:color w:val="000000"/>
          <w:sz w:val="24"/>
          <w:szCs w:val="28"/>
        </w:rPr>
        <w:t xml:space="preserve">На расчетный срок (до 2041г.) проектом предусматривается сохранение существующей системы газоснабжения с проведением мероприятий, направленных на повышение надежности ее работы. </w:t>
      </w:r>
    </w:p>
    <w:p>
      <w:pPr>
        <w:pStyle w:val="Normal"/>
        <w:spacing w:lineRule="auto" w:line="240" w:before="0" w:after="0"/>
        <w:ind w:firstLine="567"/>
        <w:jc w:val="both"/>
        <w:rPr>
          <w:rFonts w:ascii="Times New Roman" w:hAnsi="Times New Roman" w:cs="Times New Roman"/>
          <w:color w:val="000000"/>
          <w:sz w:val="24"/>
          <w:szCs w:val="28"/>
        </w:rPr>
      </w:pPr>
      <w:r>
        <w:rPr>
          <w:rFonts w:cs="Times New Roman" w:ascii="Times New Roman" w:hAnsi="Times New Roman"/>
          <w:color w:val="000000"/>
          <w:sz w:val="24"/>
          <w:szCs w:val="28"/>
        </w:rPr>
        <w:t>Согласно утвержденным нормативам градостроительного проектирования Туркменского муниципального округа норматив обеспеченности объектами газоснабжения (индивидуально-бытовые нужды населения) следует принимать не менее 120 кубических метров на 1 человека в год.</w:t>
      </w:r>
    </w:p>
    <w:p>
      <w:pPr>
        <w:pStyle w:val="Normal"/>
        <w:spacing w:lineRule="auto" w:line="240" w:before="0" w:after="0"/>
        <w:ind w:firstLine="567"/>
        <w:jc w:val="both"/>
        <w:rPr>
          <w:rFonts w:ascii="Times New Roman" w:hAnsi="Times New Roman" w:cs="Times New Roman"/>
          <w:color w:val="000000"/>
          <w:sz w:val="24"/>
          <w:szCs w:val="28"/>
        </w:rPr>
      </w:pPr>
      <w:r>
        <w:rPr>
          <w:rFonts w:cs="Times New Roman" w:ascii="Times New Roman" w:hAnsi="Times New Roman"/>
          <w:color w:val="000000"/>
          <w:sz w:val="24"/>
          <w:szCs w:val="28"/>
        </w:rPr>
        <w:t>Проектирование и строительство новых, реконструкцию и развитие действующих газораспределительных систем следует осуществлять в соответствии с требованиями СП 62.13330.2011 «Газораспределительные системы». Актуализированная редакция СНиП 42-01-2002.</w:t>
      </w:r>
    </w:p>
    <w:p>
      <w:pPr>
        <w:sectPr>
          <w:type w:val="nextPage"/>
          <w:pgSz w:w="11906" w:h="16838"/>
          <w:pgMar w:left="1701" w:right="851" w:gutter="0" w:header="0" w:top="1134" w:footer="0" w:bottom="1134"/>
          <w:pgNumType w:fmt="decimal"/>
          <w:formProt w:val="false"/>
          <w:textDirection w:val="lrTb"/>
          <w:docGrid w:type="default" w:linePitch="360" w:charSpace="24576"/>
        </w:sectPr>
        <w:pStyle w:val="Normal"/>
        <w:spacing w:lineRule="auto" w:line="240"/>
        <w:ind w:firstLine="567"/>
        <w:jc w:val="both"/>
        <w:rPr>
          <w:rFonts w:ascii="Times New Roman" w:hAnsi="Times New Roman" w:cs="Times New Roman"/>
          <w:color w:val="000000"/>
          <w:sz w:val="24"/>
          <w:szCs w:val="28"/>
        </w:rPr>
      </w:pPr>
      <w:bookmarkStart w:id="3" w:name="_Hlk219472823"/>
      <w:r>
        <w:rPr>
          <w:rFonts w:cs="Times New Roman" w:ascii="Times New Roman" w:hAnsi="Times New Roman"/>
          <w:color w:val="000000"/>
          <w:sz w:val="24"/>
          <w:szCs w:val="28"/>
        </w:rPr>
        <w:t>Применение газа в котельных и жилой застройке в качестве топлива коренным образом меняет в лучшую сторону перспективу социально-экономического развития населенных пунктов муниципального округа, а также бытовые условия жизни населения.</w:t>
      </w:r>
      <w:bookmarkEnd w:id="3"/>
    </w:p>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color w:val="000000"/>
          <w:sz w:val="24"/>
          <w:szCs w:val="28"/>
        </w:rPr>
        <w:t xml:space="preserve">Прогноз газопотребления жилищно-коммунальной сферой Туркменского </w:t>
      </w:r>
      <w:r>
        <w:rPr>
          <w:rFonts w:cs="Times New Roman" w:ascii="Times New Roman" w:hAnsi="Times New Roman"/>
          <w:sz w:val="24"/>
          <w:szCs w:val="28"/>
        </w:rPr>
        <w:t>муниципального округа на расчетный срок представлен в таблице 7.</w:t>
      </w:r>
    </w:p>
    <w:p>
      <w:pPr>
        <w:pStyle w:val="Normal"/>
        <w:spacing w:lineRule="auto" w:line="240" w:before="0" w:after="0"/>
        <w:jc w:val="right"/>
        <w:rPr>
          <w:rFonts w:ascii="Times New Roman" w:hAnsi="Times New Roman" w:cs="Times New Roman"/>
          <w:sz w:val="24"/>
          <w:szCs w:val="28"/>
        </w:rPr>
      </w:pPr>
      <w:bookmarkStart w:id="4" w:name="_Toc159836054"/>
      <w:bookmarkStart w:id="5" w:name="_Toc165189340"/>
      <w:r>
        <w:rPr>
          <w:rFonts w:cs="Times New Roman" w:ascii="Times New Roman" w:hAnsi="Times New Roman"/>
          <w:sz w:val="24"/>
          <w:szCs w:val="28"/>
        </w:rPr>
        <w:t xml:space="preserve">Таблица </w:t>
      </w:r>
      <w:bookmarkEnd w:id="4"/>
      <w:bookmarkEnd w:id="5"/>
      <w:r>
        <w:rPr>
          <w:rFonts w:cs="Times New Roman" w:ascii="Times New Roman" w:hAnsi="Times New Roman"/>
          <w:sz w:val="24"/>
          <w:szCs w:val="28"/>
        </w:rPr>
        <w:t>7.</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Прогноз газопотребления жилищно-коммунальной сферой Туркменского муниципального округа (на 2041 г.)</w:t>
      </w:r>
    </w:p>
    <w:tbl>
      <w:tblPr>
        <w:tblW w:w="4750" w:type="pct"/>
        <w:jc w:val="left"/>
        <w:tblInd w:w="1014" w:type="dxa"/>
        <w:tblLayout w:type="fixed"/>
        <w:tblCellMar>
          <w:top w:w="0" w:type="dxa"/>
          <w:left w:w="108" w:type="dxa"/>
          <w:bottom w:w="0" w:type="dxa"/>
          <w:right w:w="108" w:type="dxa"/>
        </w:tblCellMar>
        <w:tblLook w:val="04a0"/>
      </w:tblPr>
      <w:tblGrid>
        <w:gridCol w:w="4584"/>
        <w:gridCol w:w="4628"/>
        <w:gridCol w:w="4629"/>
      </w:tblGrid>
      <w:tr>
        <w:trPr>
          <w:tblHeader w:val="true"/>
          <w:trHeight w:val="307" w:hRule="atLeast"/>
        </w:trPr>
        <w:tc>
          <w:tcPr>
            <w:tcW w:w="458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потребителей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Численность населения, человек</w:t>
            </w:r>
          </w:p>
        </w:tc>
        <w:tc>
          <w:tcPr>
            <w:tcW w:w="46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Годовой расход газа тыс. м³/год</w:t>
            </w:r>
          </w:p>
        </w:tc>
      </w:tr>
      <w:tr>
        <w:trPr>
          <w:trHeight w:val="213"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Туркменский МО</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11031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1323,72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Березовский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178</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21,36</w:t>
            </w:r>
          </w:p>
        </w:tc>
      </w:tr>
      <w:tr>
        <w:trPr>
          <w:trHeight w:val="195"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Владимировка</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1030</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123,6</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Голубиный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0</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0</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с. Казгулак</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1108</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132,96</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color w:val="000000"/>
                <w:sz w:val="20"/>
                <w:szCs w:val="20"/>
              </w:rPr>
              <w:t>с. Камбулат</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2061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247,32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color w:val="000000"/>
                <w:sz w:val="20"/>
                <w:szCs w:val="20"/>
              </w:rPr>
              <w:t>с. Кендже-Кулак</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826</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99,12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color w:val="000000"/>
                <w:sz w:val="20"/>
                <w:szCs w:val="20"/>
              </w:rPr>
              <w:t>п. Красная Поляна</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112</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13,44</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color w:val="000000"/>
                <w:sz w:val="20"/>
                <w:szCs w:val="20"/>
              </w:rPr>
              <w:t>п. Красный Маныч</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598</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71,76</w:t>
            </w:r>
          </w:p>
        </w:tc>
      </w:tr>
      <w:tr>
        <w:trPr>
          <w:trHeight w:val="242"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а. Куликовы Копани</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916</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109,92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color w:val="000000"/>
                <w:sz w:val="20"/>
                <w:szCs w:val="20"/>
              </w:rPr>
              <w:t>с. Кучерла</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988</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118,56</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с. Летняя Ставка</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3214</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385,68</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с. Малые Ягуры</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1561</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187,32</w:t>
            </w:r>
          </w:p>
        </w:tc>
      </w:tr>
      <w:tr>
        <w:trPr>
          <w:trHeight w:val="310"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а. Маштак-Кулак</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256</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30,72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Новокучерлинский</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0</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0</w:t>
            </w:r>
          </w:p>
        </w:tc>
      </w:tr>
      <w:tr>
        <w:trPr>
          <w:trHeight w:val="265" w:hRule="atLeast"/>
        </w:trPr>
        <w:tc>
          <w:tcPr>
            <w:tcW w:w="45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Новорагулинский</w:t>
            </w:r>
          </w:p>
        </w:tc>
        <w:tc>
          <w:tcPr>
            <w:tcW w:w="46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136</w:t>
            </w:r>
          </w:p>
        </w:tc>
        <w:tc>
          <w:tcPr>
            <w:tcW w:w="46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16,32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с. Овощи</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1881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225,72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Отрадный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15,72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Поперечный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74</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8,88</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Прудовый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43</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5,16</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а. Сабан-Антуста</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710</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85,2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Таврический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115</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13,8</w:t>
            </w:r>
          </w:p>
        </w:tc>
      </w:tr>
      <w:tr>
        <w:trPr>
          <w:trHeight w:val="301"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Троицкий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131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15,72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а. Чур</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486</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58,32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а. Шарахалсун</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1661</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199,32</w:t>
            </w:r>
          </w:p>
        </w:tc>
      </w:tr>
      <w:tr>
        <w:trPr>
          <w:trHeight w:val="20" w:hRule="atLeast"/>
        </w:trPr>
        <w:tc>
          <w:tcPr>
            <w:tcW w:w="458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color w:val="000000"/>
                <w:sz w:val="20"/>
                <w:szCs w:val="20"/>
              </w:rPr>
            </w:pPr>
            <w:r>
              <w:rPr>
                <w:rFonts w:cs="Times New Roman" w:ascii="Times New Roman" w:hAnsi="Times New Roman"/>
                <w:color w:val="000000"/>
                <w:sz w:val="20"/>
                <w:szCs w:val="20"/>
              </w:rPr>
              <w:t>п. Ясный</w:t>
            </w:r>
          </w:p>
        </w:tc>
        <w:tc>
          <w:tcPr>
            <w:tcW w:w="4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603</w:t>
            </w:r>
          </w:p>
        </w:tc>
        <w:tc>
          <w:tcPr>
            <w:tcW w:w="4629"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jc w:val="center"/>
              <w:rPr>
                <w:rFonts w:ascii="Times New Roman" w:hAnsi="Times New Roman" w:cs="Times New Roman"/>
                <w:color w:val="000000"/>
                <w:sz w:val="20"/>
                <w:szCs w:val="20"/>
              </w:rPr>
            </w:pPr>
            <w:r>
              <w:rPr>
                <w:rFonts w:cs="Times New Roman" w:ascii="Times New Roman" w:hAnsi="Times New Roman"/>
                <w:color w:val="000000"/>
                <w:sz w:val="20"/>
                <w:szCs w:val="20"/>
              </w:rPr>
              <w:t>72,36</w:t>
            </w:r>
          </w:p>
        </w:tc>
      </w:tr>
    </w:tbl>
    <w:p>
      <w:pPr>
        <w:sectPr>
          <w:footerReference w:type="even" r:id="rId6"/>
          <w:footerReference w:type="default" r:id="rId7"/>
          <w:type w:val="nextPage"/>
          <w:pgSz w:orient="landscape" w:w="16838" w:h="11906"/>
          <w:pgMar w:left="1134" w:right="1134" w:gutter="0" w:header="0" w:top="709" w:footer="708" w:bottom="850"/>
          <w:pgNumType w:fmt="decimal"/>
          <w:formProt w:val="false"/>
          <w:textDirection w:val="lrTb"/>
          <w:docGrid w:type="default" w:linePitch="360" w:charSpace="24576"/>
        </w:sectPr>
      </w:pPr>
    </w:p>
    <w:p>
      <w:pPr>
        <w:pStyle w:val="13"/>
        <w:rPr/>
      </w:pPr>
      <w:bookmarkStart w:id="6" w:name="_Toc224805150"/>
      <w:r>
        <w:rPr/>
        <w:t>2.6. Характеристика существующей системы сбора и вывоза твердых коммунальных отходов</w:t>
      </w:r>
      <w:bookmarkEnd w:id="6"/>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bookmarkStart w:id="7" w:name="_Hlk219472935"/>
      <w:bookmarkEnd w:id="7"/>
      <w:r>
        <w:rPr>
          <w:rFonts w:eastAsia="Times New Roman" w:cs="Times New Roman" w:ascii="Times New Roman" w:hAnsi="Times New Roman"/>
          <w:color w:val="000000"/>
          <w:sz w:val="24"/>
          <w:szCs w:val="24"/>
          <w:lang w:eastAsia="ru-RU"/>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(Федеральный закон от 24.06.1998 № 89-ФЗ).</w:t>
      </w:r>
    </w:p>
    <w:p>
      <w:pPr>
        <w:pStyle w:val="Normal"/>
        <w:spacing w:lineRule="auto" w:line="240" w:before="0" w:after="0"/>
        <w:jc w:val="right"/>
        <w:rPr>
          <w:rFonts w:ascii="Times New Roman" w:hAnsi="Times New Roman" w:cs="Times New Roman"/>
          <w:sz w:val="24"/>
          <w:szCs w:val="24"/>
        </w:rPr>
      </w:pPr>
      <w:bookmarkStart w:id="8" w:name="_Toc159836002"/>
      <w:bookmarkStart w:id="9" w:name="_Toc165189288"/>
      <w:r>
        <w:rPr>
          <w:rFonts w:cs="Times New Roman" w:ascii="Times New Roman" w:hAnsi="Times New Roman"/>
          <w:sz w:val="24"/>
          <w:szCs w:val="24"/>
        </w:rPr>
        <w:t xml:space="preserve">Таблица </w:t>
      </w:r>
      <w:bookmarkEnd w:id="8"/>
      <w:bookmarkEnd w:id="9"/>
      <w:r>
        <w:rPr>
          <w:rFonts w:cs="Times New Roman" w:ascii="Times New Roman" w:hAnsi="Times New Roman"/>
          <w:sz w:val="24"/>
          <w:szCs w:val="24"/>
        </w:rPr>
        <w:t>8.</w:t>
      </w:r>
    </w:p>
    <w:p>
      <w:pPr>
        <w:pStyle w:val="Normal"/>
        <w:spacing w:lineRule="auto" w:line="240" w:before="0" w:after="0"/>
        <w:jc w:val="center"/>
        <w:rPr>
          <w:rFonts w:ascii="Times New Roman" w:hAnsi="Times New Roman" w:eastAsia="Times New Roman" w:cs="Times New Roman"/>
          <w:color w:val="000000"/>
          <w:sz w:val="24"/>
          <w:szCs w:val="24"/>
          <w:lang w:eastAsia="ru-RU"/>
        </w:rPr>
      </w:pPr>
      <w:bookmarkStart w:id="10" w:name="_Hlk219472955"/>
      <w:bookmarkStart w:id="11" w:name="_Hlk219472935_Копия_1"/>
      <w:bookmarkEnd w:id="10"/>
      <w:bookmarkEnd w:id="11"/>
      <w:r>
        <w:rPr>
          <w:rFonts w:eastAsia="Times New Roman" w:cs="Times New Roman" w:ascii="Times New Roman" w:hAnsi="Times New Roman"/>
          <w:color w:val="000000"/>
          <w:sz w:val="24"/>
          <w:szCs w:val="24"/>
          <w:lang w:eastAsia="ru-RU"/>
        </w:rPr>
        <w:t>Распределение муниципальных образований Ставропольского края по зонам деятельности региональных операторов</w:t>
      </w:r>
    </w:p>
    <w:tbl>
      <w:tblPr>
        <w:tblW w:w="9628" w:type="dxa"/>
        <w:jc w:val="left"/>
        <w:tblInd w:w="339" w:type="dxa"/>
        <w:tblLayout w:type="fixed"/>
        <w:tblCellMar>
          <w:top w:w="0" w:type="dxa"/>
          <w:left w:w="108" w:type="dxa"/>
          <w:bottom w:w="0" w:type="dxa"/>
          <w:right w:w="108" w:type="dxa"/>
        </w:tblCellMar>
        <w:tblLook w:val="04a0"/>
      </w:tblPr>
      <w:tblGrid>
        <w:gridCol w:w="3160"/>
        <w:gridCol w:w="6467"/>
      </w:tblGrid>
      <w:tr>
        <w:trPr/>
        <w:tc>
          <w:tcPr>
            <w:tcW w:w="31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bookmarkStart w:id="12" w:name="_Hlk219472968"/>
            <w:bookmarkStart w:id="13" w:name="_Hlk219472955_Копия_1"/>
            <w:bookmarkEnd w:id="12"/>
            <w:bookmarkEnd w:id="13"/>
            <w:r>
              <w:rPr>
                <w:rFonts w:eastAsia="Times New Roman" w:cs="Times New Roman" w:ascii="Times New Roman" w:hAnsi="Times New Roman"/>
                <w:color w:val="000000"/>
                <w:sz w:val="20"/>
                <w:szCs w:val="20"/>
                <w:lang w:eastAsia="ru-RU"/>
              </w:rPr>
              <w:t>Зона деятельности регионального оператора</w:t>
            </w:r>
          </w:p>
        </w:tc>
        <w:tc>
          <w:tcPr>
            <w:tcW w:w="646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Муниципальные образования в составе зоны деятельности</w:t>
            </w:r>
          </w:p>
        </w:tc>
      </w:tr>
      <w:tr>
        <w:trPr/>
        <w:tc>
          <w:tcPr>
            <w:tcW w:w="31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Первая зона</w:t>
            </w:r>
          </w:p>
        </w:tc>
        <w:tc>
          <w:tcPr>
            <w:tcW w:w="64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Город Ставрополь, Апанасенковский муниципальный округ, Грачевский муниципальный округ, Изобильненский муниципальный округ, Ипатовский муниципальный округ, Красногвардейский муниципальный округ, Новоалександровский муниципальный округ, Петровский муниципальный округ, Труновский муниципальный округ, Туркменский муниципальный округ, Шпаковский муниципальный округ</w:t>
            </w:r>
          </w:p>
        </w:tc>
      </w:tr>
      <w:tr>
        <w:trPr/>
        <w:tc>
          <w:tcPr>
            <w:tcW w:w="31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Вторая зона</w:t>
            </w:r>
          </w:p>
        </w:tc>
        <w:tc>
          <w:tcPr>
            <w:tcW w:w="64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Андроповский муниципальный округ, Георгиевский муниципальный округ, город Лермонтов, город Невинномысск, город-курорт Ессентуки, город-курорт Железноводск, город-курорт Кисловодск, город-курорт Пятигорск, Кировский муниципальный округ, Кочубеевский муниципальный округ, Курский муниципальный округ, Минераловодский муниципальный округ, Предгорный муниципальный округ, Советский муниципальный округ, Степновский муниципальный округ</w:t>
            </w:r>
          </w:p>
        </w:tc>
      </w:tr>
      <w:tr>
        <w:trPr/>
        <w:tc>
          <w:tcPr>
            <w:tcW w:w="31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Третья зона</w:t>
            </w:r>
          </w:p>
        </w:tc>
        <w:tc>
          <w:tcPr>
            <w:tcW w:w="64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Александровский муниципальный округ, Благодарненский муниципальный округ, Новоселицкий муниципальный округ</w:t>
            </w:r>
          </w:p>
        </w:tc>
      </w:tr>
      <w:tr>
        <w:trPr/>
        <w:tc>
          <w:tcPr>
            <w:tcW w:w="31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Четвертая зона</w:t>
            </w:r>
          </w:p>
        </w:tc>
        <w:tc>
          <w:tcPr>
            <w:tcW w:w="64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Арзгирский муниципальный округ, Буденновский муниципальный округ, Левокумский муниципальный округ, Нефтекумский муниципальный округ</w:t>
            </w:r>
          </w:p>
        </w:tc>
      </w:tr>
    </w:tbl>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bookmarkStart w:id="14" w:name="_Hlk219472920"/>
      <w:bookmarkStart w:id="15" w:name="_Hlk219472991"/>
      <w:bookmarkStart w:id="16" w:name="_Hlk219472968_Копия_1"/>
      <w:bookmarkEnd w:id="16"/>
      <w:r>
        <w:rPr>
          <w:rFonts w:eastAsia="Times New Roman" w:cs="Times New Roman" w:ascii="Times New Roman" w:hAnsi="Times New Roman"/>
          <w:color w:val="000000"/>
          <w:sz w:val="24"/>
          <w:szCs w:val="28"/>
          <w:lang w:eastAsia="ru-RU"/>
        </w:rPr>
        <w:t>Территория Туркменского муниципального округа Ставропольского края располагается в пределах 1 зоны деятельности регионального оператора.</w:t>
      </w:r>
      <w:bookmarkEnd w:id="14"/>
      <w:bookmarkEnd w:id="15"/>
    </w:p>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В соответствии с действующей Территориальной схемой обращения с отходами в Ставропольском крае (утвержден постановлением Правительства Ставропольского края от 22 сентября 2016 г. № 408-п) на территории планируемого муниципального образования объекты по обращению с отходами отсутствуют.</w:t>
      </w:r>
    </w:p>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Источниками образования ТКО на территории Туркменского муниципального округа являются:</w:t>
      </w:r>
    </w:p>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 жилой фонд;</w:t>
      </w:r>
    </w:p>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 объекты социального назначения;</w:t>
      </w:r>
    </w:p>
    <w:p>
      <w:p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 промышленные и производственные предприятия (отходы 4-5 классов опасности).</w:t>
      </w:r>
    </w:p>
    <w:p>
      <w:pPr>
        <w:sectPr>
          <w:footerReference w:type="even" r:id="rId8"/>
          <w:footerReference w:type="default" r:id="rId9"/>
          <w:footerReference w:type="first" r:id="rId10"/>
          <w:type w:val="nextPage"/>
          <w:pgSz w:w="11906" w:h="16838"/>
          <w:pgMar w:left="1418" w:right="850" w:gutter="0" w:header="0" w:top="1134" w:footer="708" w:bottom="1134"/>
          <w:pgNumType w:fmt="decimal"/>
          <w:formProt w:val="false"/>
          <w:textDirection w:val="lrTb"/>
          <w:docGrid w:type="default" w:linePitch="360" w:charSpace="24576"/>
        </w:sectPr>
        <w:pStyle w:val="Normal"/>
        <w:spacing w:lineRule="auto" w:line="240" w:before="0" w:after="0"/>
        <w:ind w:firstLine="567"/>
        <w:jc w:val="both"/>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В соответствии с действующей Территориальной схемой обращения с отходами в Ставропольском крае (утверждена постановлением Правительства Ставропольского края от 22 сентября 2016 г. № 408-п) на территории Туркменского муниципального округа располагается 10 несанкционированных свалок.</w:t>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9.</w:t>
      </w:r>
    </w:p>
    <w:p>
      <w:pPr>
        <w:pStyle w:val="Normal"/>
        <w:spacing w:lineRule="auto" w:line="240" w:before="0" w:after="0"/>
        <w:jc w:val="center"/>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t>Перечень несанкционированных свалок ТКО Туркменского муниципального округа</w:t>
      </w:r>
    </w:p>
    <w:p>
      <w:pPr>
        <w:pStyle w:val="Normal"/>
        <w:spacing w:lineRule="auto" w:line="240" w:before="0" w:after="0"/>
        <w:rPr>
          <w:rFonts w:ascii="Times New Roman" w:hAnsi="Times New Roman" w:eastAsia="Times New Roman" w:cs="Times New Roman"/>
          <w:color w:val="000000"/>
          <w:sz w:val="24"/>
          <w:szCs w:val="28"/>
          <w:lang w:eastAsia="ru-RU"/>
        </w:rPr>
      </w:pPr>
      <w:r>
        <w:rPr>
          <w:rFonts w:eastAsia="Times New Roman" w:cs="Times New Roman" w:ascii="Times New Roman" w:hAnsi="Times New Roman"/>
          <w:color w:val="000000"/>
          <w:sz w:val="24"/>
          <w:szCs w:val="28"/>
          <w:lang w:eastAsia="ru-RU"/>
        </w:rPr>
      </w:r>
    </w:p>
    <w:tbl>
      <w:tblPr>
        <w:tblW w:w="14459" w:type="dxa"/>
        <w:jc w:val="left"/>
        <w:tblInd w:w="589" w:type="dxa"/>
        <w:tblLayout w:type="fixed"/>
        <w:tblCellMar>
          <w:top w:w="0" w:type="dxa"/>
          <w:left w:w="108" w:type="dxa"/>
          <w:bottom w:w="0" w:type="dxa"/>
          <w:right w:w="108" w:type="dxa"/>
        </w:tblCellMar>
        <w:tblLook w:val="04a0"/>
      </w:tblPr>
      <w:tblGrid>
        <w:gridCol w:w="565"/>
        <w:gridCol w:w="5134"/>
        <w:gridCol w:w="1534"/>
        <w:gridCol w:w="1699"/>
        <w:gridCol w:w="1845"/>
        <w:gridCol w:w="1281"/>
        <w:gridCol w:w="1417"/>
        <w:gridCol w:w="982"/>
      </w:tblGrid>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п/п</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Вид объекта</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Координаты</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поворотных точек объекта</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наименование ближайшего населенного пункта</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наименование ближайшего водного объекта</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Объем</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размещенных</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отходов, куб. 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Масса размещенных отходов, тонн</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площадь га</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67</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8</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9</w:t>
            </w:r>
          </w:p>
        </w:tc>
      </w:tr>
      <w:tr>
        <w:trPr>
          <w:trHeight w:val="72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на открытой местности, с. Кучерла, Туркменский муниципальный округ (Ставропольский край, кадастровый номер земельного участка 26:09:090424:21)</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45.374591,</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43.628095</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с. Кучерла,</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 км, 3</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пруд Ближний,</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 км</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29588</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7397</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val="en-US" w:eastAsia="ru-RU"/>
              </w:rPr>
            </w:pPr>
            <w:r>
              <w:rPr>
                <w:rFonts w:eastAsia="Times New Roman" w:cs="Times New Roman" w:ascii="Times New Roman" w:hAnsi="Times New Roman"/>
                <w:color w:val="000000"/>
                <w:sz w:val="20"/>
                <w:szCs w:val="20"/>
                <w:lang w:eastAsia="ru-RU"/>
              </w:rPr>
              <w:t>3.19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2.</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на открытой местности, с. Летняя Ставка, Туркменский муниципальный округ (Ставропольский край, кадастровый номер земельного участка 26:09:043905:5)</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45.432527,</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43.400352</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на 3 от с. Летняя</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Ставка 2 км</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пруд Летнеставочный,</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1,5 км</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85900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42950</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11.98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3.</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eastAsia="Times New Roman" w:cs="Times New Roman" w:ascii="Times New Roman" w:hAnsi="Times New Roman"/>
                <w:color w:themeColor="text1" w:val="000000"/>
                <w:sz w:val="20"/>
                <w:szCs w:val="20"/>
                <w:lang w:eastAsia="ru-RU"/>
              </w:rPr>
              <w:t>Несанкционированная свалка а. Куликово-Копани №1 Туркменский муниципальный округ (Ставропольский край, на земельном участке с кадастровым номером 26:09:100301:7)</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а. Куликово-Копани, 1 км, Ю</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2640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1740</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4.3</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val="en-US" w:eastAsia="ru-RU"/>
              </w:rPr>
              <w:t>4</w:t>
            </w:r>
            <w:r>
              <w:rPr>
                <w:rFonts w:eastAsia="Times New Roman" w:cs="Times New Roman" w:ascii="Times New Roman" w:hAnsi="Times New Roman"/>
                <w:color w:themeColor="text1" w:val="000000"/>
                <w:sz w:val="20"/>
                <w:szCs w:val="20"/>
                <w:lang w:eastAsia="ru-RU"/>
              </w:rPr>
              <w:t>.</w:t>
            </w:r>
          </w:p>
        </w:tc>
        <w:tc>
          <w:tcPr>
            <w:tcW w:w="513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51" w:leader="none"/>
              </w:tabs>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отходов, Ставропольский край, Туркменский муниципальный округ, аул Шарахалсун (Ставропольский край, на земельном участке с кадастровым номером 26:09:000000:2906, в границах кадастровых кварталов 26:09:090408, 26:09:090409)</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а. Шарахалсун, 06 км, З</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пруд Средний,</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0.3 км</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30620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7655</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15.20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5.</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на открытой местности, с.Овощи, Туркменский муниципальный округ (Ставропольский край, на земельном участке с кадастровым номером 26:09:050301:4)</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45.371543, 43.275253</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с. Овощи, 1 км, З</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43500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10875</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5.30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val="en-US" w:eastAsia="ru-RU"/>
              </w:rPr>
              <w:t>6</w:t>
            </w:r>
            <w:r>
              <w:rPr>
                <w:rFonts w:eastAsia="Times New Roman" w:cs="Times New Roman" w:ascii="Times New Roman" w:hAnsi="Times New Roman"/>
                <w:color w:themeColor="text1" w:val="000000"/>
                <w:sz w:val="20"/>
                <w:szCs w:val="20"/>
                <w:lang w:eastAsia="ru-RU"/>
              </w:rPr>
              <w:t>.</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Несанкционированная свалка Ставропольский край, Туркменский район, п. Отрадный, восточнее 0.1 км</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45.347679, 43.384206</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 Отрадный, 0,1 км, В</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29050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7262</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r>
      <w:tr>
        <w:trPr>
          <w:trHeight w:val="871"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7.</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themeColor="text1" w:val="000000"/>
                <w:sz w:val="20"/>
                <w:szCs w:val="20"/>
                <w:lang w:eastAsia="ru-RU"/>
              </w:rPr>
            </w:pPr>
            <w:r>
              <w:rPr>
                <w:rFonts w:cs="Times New Roman" w:ascii="Times New Roman" w:hAnsi="Times New Roman"/>
                <w:color w:themeColor="text1" w:val="000000"/>
                <w:sz w:val="20"/>
                <w:szCs w:val="20"/>
              </w:rPr>
              <w:t>Несанкционированная свалка, Ставропольский край, Туркменский муниципальный округ, с. Казгулак (Ставропольский край, на земельном участке с кадастровым номером 26:09:030409:2, в границах кадастрового квартала 26:09:030409)</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45.502524, 43.262029</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с. Казгулак, 1 км, З</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Пруд «МТФ 2»,</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 км</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42400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10600</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4.47</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8.</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Несанкционированная свалка с. Кендже-Кулак</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45.461185, 43.826505</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с. Кендже-Кулак,</w:t>
            </w:r>
          </w:p>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ЮВ 1000 м</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Пруд, 2 км</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363200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90800</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1,5</w:t>
            </w:r>
          </w:p>
        </w:tc>
      </w:tr>
      <w:tr>
        <w:trPr>
          <w:trHeight w:val="983" w:hRule="atLeast"/>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val="en-US" w:eastAsia="ru-RU"/>
              </w:rPr>
            </w:pPr>
            <w:r>
              <w:rPr>
                <w:rFonts w:eastAsia="Times New Roman" w:cs="Times New Roman" w:ascii="Times New Roman" w:hAnsi="Times New Roman"/>
                <w:color w:val="000000"/>
                <w:sz w:val="20"/>
                <w:szCs w:val="20"/>
                <w:lang w:val="en-US" w:eastAsia="ru-RU"/>
              </w:rPr>
              <w:t>9.</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на открытой местности, п. Владимировка, Туркменский муниципальный округ (Ставропольский край, в границах кадастрового квартала 26:09:061508)</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п. Владимировка, 1,16 км, В</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179797</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53375</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val="en-US" w:eastAsia="ru-RU"/>
              </w:rPr>
            </w:pPr>
            <w:r>
              <w:rPr>
                <w:rFonts w:eastAsia="Times New Roman" w:cs="Times New Roman" w:ascii="Times New Roman" w:hAnsi="Times New Roman"/>
                <w:color w:val="000000"/>
                <w:sz w:val="20"/>
                <w:szCs w:val="20"/>
                <w:lang w:val="en-US" w:eastAsia="ru-RU"/>
              </w:rPr>
              <w:t>5.3</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val="en-US" w:eastAsia="ru-RU"/>
              </w:rPr>
            </w:pPr>
            <w:r>
              <w:rPr>
                <w:rFonts w:eastAsia="Times New Roman" w:cs="Times New Roman" w:ascii="Times New Roman" w:hAnsi="Times New Roman"/>
                <w:color w:val="000000"/>
                <w:sz w:val="20"/>
                <w:szCs w:val="20"/>
                <w:lang w:val="en-US" w:eastAsia="ru-RU"/>
              </w:rPr>
              <w:t>10.</w:t>
            </w:r>
          </w:p>
        </w:tc>
        <w:tc>
          <w:tcPr>
            <w:tcW w:w="5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FF0000"/>
                <w:sz w:val="20"/>
                <w:szCs w:val="20"/>
                <w:lang w:eastAsia="ru-RU"/>
              </w:rPr>
            </w:pPr>
            <w:r>
              <w:rPr>
                <w:rFonts w:cs="Times New Roman" w:ascii="Times New Roman" w:hAnsi="Times New Roman"/>
                <w:color w:val="000000"/>
                <w:sz w:val="20"/>
                <w:szCs w:val="20"/>
              </w:rPr>
              <w:t>Несанкционированная свалка на открытой местности, с. Малые Ягуры, Туркменский муниципальный округ (Ставропольский край, в границах кадастровых кварталов 26:09:011729, 26:09:012001)</w:t>
            </w:r>
          </w:p>
        </w:tc>
        <w:tc>
          <w:tcPr>
            <w:tcW w:w="1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45.434168, 42.995636</w:t>
            </w:r>
          </w:p>
        </w:tc>
        <w:tc>
          <w:tcPr>
            <w:tcW w:w="16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t>200 м на ЮВ от с. Малые Ягуры</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20"/>
                <w:szCs w:val="20"/>
                <w:lang w:eastAsia="ru-RU"/>
              </w:rPr>
            </w:pPr>
            <w:r>
              <w:rPr>
                <w:rFonts w:eastAsia="Times New Roman" w:cs="Times New Roman" w:ascii="Times New Roman" w:hAnsi="Times New Roman"/>
                <w:color w:themeColor="text1" w:val="000000"/>
                <w:sz w:val="20"/>
                <w:szCs w:val="20"/>
                <w:lang w:eastAsia="ru-RU"/>
              </w:rPr>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264800</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66200</w:t>
            </w:r>
          </w:p>
        </w:tc>
        <w:tc>
          <w:tcPr>
            <w:tcW w:w="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val="000000"/>
                <w:sz w:val="20"/>
                <w:szCs w:val="20"/>
                <w:lang w:val="en-US" w:eastAsia="ru-RU"/>
              </w:rPr>
            </w:pPr>
            <w:r>
              <w:rPr>
                <w:rFonts w:eastAsia="Times New Roman" w:cs="Times New Roman" w:ascii="Times New Roman" w:hAnsi="Times New Roman"/>
                <w:color w:val="000000"/>
                <w:sz w:val="20"/>
                <w:szCs w:val="20"/>
                <w:lang w:val="en-US" w:eastAsia="ru-RU"/>
              </w:rPr>
              <w:t>5</w:t>
            </w:r>
          </w:p>
        </w:tc>
      </w:tr>
    </w:tbl>
    <w:p>
      <w:pPr>
        <w:sectPr>
          <w:footerReference w:type="even" r:id="rId11"/>
          <w:footerReference w:type="default" r:id="rId12"/>
          <w:footerReference w:type="first" r:id="rId13"/>
          <w:type w:val="nextPage"/>
          <w:pgSz w:orient="landscape" w:w="16838" w:h="11906"/>
          <w:pgMar w:left="1134" w:right="1134" w:gutter="0" w:header="0" w:top="851" w:footer="708" w:bottom="850"/>
          <w:pgNumType w:fmt="decimal"/>
          <w:formProt w:val="false"/>
          <w:textDirection w:val="lrTb"/>
          <w:docGrid w:type="default" w:linePitch="360" w:charSpace="24576"/>
        </w:sectPr>
      </w:pPr>
    </w:p>
    <w:p>
      <w:pPr>
        <w:pStyle w:val="13"/>
        <w:rPr/>
      </w:pPr>
      <w:bookmarkStart w:id="17" w:name="_Toc224805151"/>
      <w:r>
        <w:rPr/>
        <w:t>2.7. Краткий анализ состояния установки приборов учета</w:t>
      </w:r>
      <w:bookmarkEnd w:id="17"/>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настоящее время расчет за коммунальные услуги в Туркменском муниципальном округе осуществляется по приборам учета и с использованием расчетных способов (по нормативам).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Не смотря на то, что объем отпуска энергетических ресурсов по приборам учета ежегодно растет, в настоящее время не обеспечен переход на 100% оплату услуг по приборам учета холодной воды, тепловой энергии.</w:t>
      </w:r>
    </w:p>
    <w:p>
      <w:pPr>
        <w:pStyle w:val="Normal"/>
        <w:spacing w:lineRule="auto" w:line="240" w:before="0" w:after="0"/>
        <w:ind w:firstLine="567"/>
        <w:jc w:val="both"/>
        <w:rPr>
          <w:rFonts w:ascii="Times New Roman" w:hAnsi="Times New Roman" w:cs="Times New Roman"/>
          <w:spacing w:val="-2"/>
          <w:sz w:val="24"/>
          <w:szCs w:val="28"/>
        </w:rPr>
      </w:pPr>
      <w:r>
        <w:rPr>
          <w:rFonts w:cs="Times New Roman" w:ascii="Times New Roman" w:hAnsi="Times New Roman"/>
          <w:sz w:val="24"/>
          <w:szCs w:val="28"/>
        </w:rPr>
        <w:t xml:space="preserve">Необходима пропаганда среди населения эффективного и экономного использования электроэнергии, в частности пропаганда установки в подъездах, на лестничных площадках, местах общего пользования энергосберегающих и регулируемых светильников, что приведет к снижению затрат на ОДН и экономии </w:t>
      </w:r>
      <w:r>
        <w:rPr>
          <w:rFonts w:cs="Times New Roman" w:ascii="Times New Roman" w:hAnsi="Times New Roman"/>
          <w:spacing w:val="-2"/>
          <w:sz w:val="24"/>
          <w:szCs w:val="28"/>
        </w:rPr>
        <w:t>ресурсов.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Сроки установки и ввода в эксплуатацию приборов учета для различных групп потребителей энергетических ресурсов определены федеральным законом от 23 ноября 2009 года № 261–ФЗ. При реализации энергосберегающих мероприятий в бюджетной сфере необходимо учитывать:</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достижение целевых показателей по энергосбережению, в том числе требование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ежегодно уменьшать ассигнования бюджетным учреждениям на 3 процента;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отсутствие мотивации уполномоченного персонала к энергосбережению;</w:t>
      </w:r>
    </w:p>
    <w:p>
      <w:pPr>
        <w:pStyle w:val="Normal"/>
        <w:spacing w:lineRule="auto" w:line="240" w:before="0" w:after="0"/>
        <w:ind w:firstLine="567"/>
        <w:jc w:val="both"/>
        <w:rPr>
          <w:rFonts w:ascii="Times New Roman" w:hAnsi="Times New Roman" w:cs="Times New Roman"/>
          <w:spacing w:val="-2"/>
          <w:sz w:val="24"/>
          <w:szCs w:val="28"/>
        </w:rPr>
      </w:pPr>
      <w:r>
        <w:rPr>
          <w:rFonts w:cs="Times New Roman" w:ascii="Times New Roman" w:hAnsi="Times New Roman"/>
          <w:sz w:val="24"/>
          <w:szCs w:val="28"/>
        </w:rPr>
        <w:t xml:space="preserve">- отсутствие выделенных целевых средств на внедрение энергосберегающих </w:t>
      </w:r>
      <w:r>
        <w:rPr>
          <w:rFonts w:cs="Times New Roman" w:ascii="Times New Roman" w:hAnsi="Times New Roman"/>
          <w:spacing w:val="-2"/>
          <w:sz w:val="24"/>
          <w:szCs w:val="28"/>
        </w:rPr>
        <w:t>мероприятий;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жесткую регламентацию статей затрат бюджетного учреждения, в том числе на оплату коммунальных услуг.</w:t>
      </w:r>
    </w:p>
    <w:p>
      <w:pPr>
        <w:pStyle w:val="Normal"/>
        <w:spacing w:lineRule="auto" w:line="240" w:before="48" w:after="0"/>
        <w:ind w:firstLine="567"/>
        <w:jc w:val="both"/>
        <w:rPr>
          <w:rFonts w:ascii="Times New Roman" w:hAnsi="Times New Roman" w:cs="Times New Roman"/>
          <w:sz w:val="24"/>
          <w:szCs w:val="28"/>
        </w:rPr>
      </w:pPr>
      <w:r>
        <w:rPr>
          <w:rFonts w:cs="Times New Roman" w:ascii="Times New Roman" w:hAnsi="Times New Roman"/>
          <w:sz w:val="24"/>
          <w:szCs w:val="28"/>
        </w:rPr>
        <w:t>Одной из схем реализации энергосбережения в бюджетных учреждениях является схема энергосервисных контрактов. С учетом понятного и прогнозируемого объема средств, выделяемых в бюджете на оплату коммунальных услуг учреждения, существенно упрощается финансовая модель внедрения энергосберегающих мероприятий. При этом возникающая экономия может делиться пропорционально: часть–на оплату услуг энергосервисной компании, часть–на материальное стимулирование персонала бюджетного учреждения, однако предпочтительнее использовать схему возобновляемого  финансирования (реинвестирования), поскольку целесообразно в первую очередь реализовывать потенциал энергосбережения на тех объектах, где может быть получен максимальный экономический эффект. Процесс реинвестирования должен служить финансовой основой дальнейшего внедрения энергосберегающих технологий. Требование Федерального закона от 23 ноября 2009 года № 261–ФЗ «Об энергосбережениии и о повышении энергетической эффективности, и о внесении изменений в отдельные законодательные акты Российской Федерации» (ФЗ) ежегодно уменьшать ассигнования на 3% каждому из бюджетных учреждений надо изменить на уменьшение ассигнований территориальной совокупности учреждений.</w:t>
      </w:r>
    </w:p>
    <w:p>
      <w:pPr>
        <w:pStyle w:val="Normal"/>
        <w:spacing w:lineRule="auto" w:line="24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Обеспеченность приборами учета коммунальных услуг на территории Туркменского муниципального округа.</w:t>
      </w:r>
    </w:p>
    <w:p>
      <w:pPr>
        <w:pStyle w:val="ListParagraph"/>
        <w:numPr>
          <w:ilvl w:val="0"/>
          <w:numId w:val="3"/>
        </w:numPr>
        <w:tabs>
          <w:tab w:val="clear" w:pos="708"/>
          <w:tab w:val="left" w:pos="851" w:leader="none"/>
        </w:tabs>
        <w:spacing w:lineRule="auto" w:line="240" w:before="0" w:after="0"/>
        <w:ind w:firstLine="567" w:left="0"/>
        <w:contextualSpacing/>
        <w:jc w:val="both"/>
        <w:rPr>
          <w:rFonts w:ascii="Times New Roman" w:hAnsi="Times New Roman" w:cs="Times New Roman"/>
          <w:bCs/>
          <w:sz w:val="24"/>
          <w:szCs w:val="24"/>
          <w:u w:val="single"/>
        </w:rPr>
      </w:pPr>
      <w:r>
        <w:rPr>
          <w:rFonts w:cs="Times New Roman" w:ascii="Times New Roman" w:hAnsi="Times New Roman"/>
          <w:bCs/>
          <w:sz w:val="24"/>
          <w:szCs w:val="24"/>
          <w:u w:val="single"/>
        </w:rPr>
        <w:t>Электроэнергия.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Филиал АО «Ставэлектросеть» (г. Светлоград):</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интеллектуальные приборы учёта — 31,99 % от общего числа потребителей;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на участке с. Летняя Ставка реализован дистанционный сбор данных с приборов учёта.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Структурное подразделение Светлоградских электрических сетей Филиала ПАО «Россети Северный</w:t>
        <w:noBreakHyphen/>
        <w:t>Кавказ» — «Ставропольэнерго»: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интеллектуальные счётчики — 14 % от общего числа;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обычные счётчики — 86 %;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дистанционный сбор данных реализован для 1 069 потребителей.</w:t>
      </w:r>
    </w:p>
    <w:p>
      <w:pPr>
        <w:pStyle w:val="ListParagraph"/>
        <w:numPr>
          <w:ilvl w:val="0"/>
          <w:numId w:val="3"/>
        </w:numPr>
        <w:tabs>
          <w:tab w:val="clear" w:pos="708"/>
          <w:tab w:val="left" w:pos="851" w:leader="none"/>
        </w:tabs>
        <w:spacing w:lineRule="auto" w:line="240" w:before="0" w:after="0"/>
        <w:ind w:firstLine="567" w:left="0"/>
        <w:contextualSpacing/>
        <w:rPr>
          <w:rFonts w:ascii="Times New Roman" w:hAnsi="Times New Roman" w:cs="Times New Roman"/>
          <w:bCs/>
          <w:sz w:val="24"/>
          <w:szCs w:val="24"/>
          <w:u w:val="single"/>
        </w:rPr>
      </w:pPr>
      <w:r>
        <w:rPr>
          <w:rFonts w:cs="Times New Roman" w:ascii="Times New Roman" w:hAnsi="Times New Roman"/>
          <w:bCs/>
          <w:sz w:val="24"/>
          <w:szCs w:val="24"/>
          <w:u w:val="single"/>
        </w:rPr>
        <w:t>Водоснабжение.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Филиал ГУП Ставропольского края «Ставрополькрайводоканал» - «Северный», производственно</w:t>
        <w:noBreakHyphen/>
        <w:t>техническое подразделение Ипатовское: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физические лица — 2075 абонентов (5 592 жителя) с приборами учёта;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юридические лица — 43 потребителя с приборами учёта.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Филиал ГУП СК «Ставрополькрайводоканал» — «Северный», производственное подразделение Благодарненское: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физические лица — 87 % оборудованы приборами учёта;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юридические лица — 100 % оборудованы приборами учёта.</w:t>
      </w:r>
    </w:p>
    <w:p>
      <w:pPr>
        <w:pStyle w:val="Normal"/>
        <w:spacing w:lineRule="auto" w:line="240" w:before="0" w:after="0"/>
        <w:ind w:firstLine="567"/>
        <w:jc w:val="both"/>
        <w:rPr>
          <w:rFonts w:ascii="Times New Roman" w:hAnsi="Times New Roman" w:cs="Times New Roman"/>
          <w:bCs/>
          <w:sz w:val="24"/>
          <w:szCs w:val="24"/>
          <w:u w:val="single"/>
        </w:rPr>
      </w:pPr>
      <w:r>
        <w:rPr>
          <w:rFonts w:cs="Times New Roman" w:ascii="Times New Roman" w:hAnsi="Times New Roman"/>
          <w:bCs/>
          <w:sz w:val="24"/>
          <w:szCs w:val="24"/>
          <w:u w:val="single"/>
        </w:rPr>
        <w:t>3. Газоснабжение.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АО «Туркменскрайгаз»:</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уровень оснащения коммунально</w:t>
        <w:noBreakHyphen/>
        <w:t>бытовых объектов телеметрией в системе газоснабжения — 90 %.</w:t>
      </w:r>
    </w:p>
    <w:p>
      <w:pPr>
        <w:pStyle w:val="Normal"/>
        <w:spacing w:lineRule="auto" w:line="240" w:before="0" w:after="0"/>
        <w:ind w:firstLine="567"/>
        <w:jc w:val="both"/>
        <w:rPr>
          <w:rFonts w:ascii="Times New Roman" w:hAnsi="Times New Roman" w:cs="Times New Roman"/>
          <w:bCs/>
          <w:sz w:val="24"/>
          <w:szCs w:val="24"/>
          <w:u w:val="single"/>
        </w:rPr>
      </w:pPr>
      <w:r>
        <w:rPr>
          <w:rFonts w:cs="Times New Roman" w:ascii="Times New Roman" w:hAnsi="Times New Roman"/>
          <w:bCs/>
          <w:sz w:val="24"/>
          <w:szCs w:val="24"/>
          <w:u w:val="single"/>
        </w:rPr>
        <w:t>4. Тепловая энергия.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ООО «Коммунальное хозяйство» Туркменского муниципального района Ставропольского края: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обеспеченность приборами учёта тепловой энергии — 7,3 %.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 ПЛАН РАЗВИТИЯ ПОСЕЛЕНИЯ, МУНИЦИПАЛЬНОГО ОКРУГА ПЛАН ПРОГНОЗИРУЕМОЙ ЗАСТРОЙКИ И ПРОГНОЗИРУЕМЫЙ СПРОС НА КОММУНАЛЬНЫЕ РЕСУРСЫ НА ПЕРИОД ДЕЙСТВИЯ ГЕНЕРАЛЬНОГО ПЛАНА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3.1. Общие положения.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Туркменский </w:t>
      </w:r>
      <w:r>
        <w:rPr>
          <w:rFonts w:cs="Times New Roman" w:ascii="Times New Roman" w:hAnsi="Times New Roman"/>
          <w:sz w:val="24"/>
          <w:szCs w:val="28"/>
        </w:rPr>
        <w:t>муниципальный</w:t>
      </w:r>
      <w:r>
        <w:rPr>
          <w:rFonts w:cs="Times New Roman" w:ascii="Times New Roman" w:hAnsi="Times New Roman"/>
          <w:sz w:val="24"/>
          <w:szCs w:val="24"/>
        </w:rPr>
        <w:t xml:space="preserve"> округ расположен в северо-восточной части Ставропольского края, граничит с Благодарненским, Петровским, Ипатовским, Арзгирским, Апанасенковским муниципальными округами и Республикой Калмыкия.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Административным центром округа является село Летняя Ставка с населением 3,7 тыс. человек, расположенное в 133,7 км от краевого центра города Ставрополя.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Общая площадь Туркменского округа 261,2 тыс. га. Площадь сельхозугодий составляет 251,9 тыс. га (96 процентов общей площади округа).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Доля Туркменского </w:t>
      </w:r>
      <w:r>
        <w:rPr>
          <w:rFonts w:cs="Times New Roman" w:ascii="Times New Roman" w:hAnsi="Times New Roman"/>
          <w:sz w:val="24"/>
          <w:szCs w:val="28"/>
        </w:rPr>
        <w:t>муниципального</w:t>
      </w:r>
      <w:r>
        <w:rPr>
          <w:rFonts w:cs="Times New Roman" w:ascii="Times New Roman" w:hAnsi="Times New Roman"/>
          <w:sz w:val="24"/>
          <w:szCs w:val="24"/>
        </w:rPr>
        <w:t xml:space="preserve"> округа в различных показателях социально-экономического развития Ставропольского края за 2024 год отражена в таблице 10.</w:t>
      </w:r>
    </w:p>
    <w:p>
      <w:pPr>
        <w:pStyle w:val="Normal"/>
        <w:spacing w:lineRule="auto" w:line="240" w:before="0" w:after="0"/>
        <w:ind w:firstLine="567"/>
        <w:jc w:val="right"/>
        <w:rPr>
          <w:rFonts w:ascii="Times New Roman" w:hAnsi="Times New Roman" w:cs="Times New Roman"/>
          <w:sz w:val="24"/>
          <w:szCs w:val="24"/>
        </w:rPr>
      </w:pPr>
      <w:r>
        <w:rPr>
          <w:rFonts w:cs="Times New Roman" w:ascii="Times New Roman" w:hAnsi="Times New Roman"/>
          <w:sz w:val="24"/>
          <w:szCs w:val="24"/>
        </w:rPr>
        <w:t>Таблица 10.</w:t>
      </w:r>
    </w:p>
    <w:p>
      <w:pPr>
        <w:pStyle w:val="Normal"/>
        <w:spacing w:lineRule="auto" w:line="240"/>
        <w:ind w:firstLine="567"/>
        <w:jc w:val="center"/>
        <w:rPr>
          <w:rFonts w:ascii="Times New Roman" w:hAnsi="Times New Roman" w:cs="Times New Roman"/>
          <w:sz w:val="24"/>
          <w:szCs w:val="24"/>
        </w:rPr>
      </w:pPr>
      <w:r>
        <w:rPr>
          <w:rFonts w:cs="Times New Roman" w:ascii="Times New Roman" w:hAnsi="Times New Roman"/>
          <w:sz w:val="24"/>
          <w:szCs w:val="24"/>
        </w:rPr>
        <w:t>Туркменский муниципальный округ в Ставропольском крае</w:t>
      </w:r>
    </w:p>
    <w:tbl>
      <w:tblPr>
        <w:tblW w:w="9360" w:type="dxa"/>
        <w:jc w:val="left"/>
        <w:tblInd w:w="157" w:type="dxa"/>
        <w:tblLayout w:type="fixed"/>
        <w:tblCellMar>
          <w:top w:w="0" w:type="dxa"/>
          <w:left w:w="5" w:type="dxa"/>
          <w:bottom w:w="0" w:type="dxa"/>
          <w:right w:w="5" w:type="dxa"/>
        </w:tblCellMar>
        <w:tblLook w:val="04a0"/>
      </w:tblPr>
      <w:tblGrid>
        <w:gridCol w:w="508"/>
        <w:gridCol w:w="6116"/>
        <w:gridCol w:w="2736"/>
      </w:tblGrid>
      <w:tr>
        <w:trPr>
          <w:trHeight w:val="226"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п/п</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показателя</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Доля в Ставропольском крае, %</w:t>
            </w:r>
          </w:p>
        </w:tc>
      </w:tr>
      <w:tr>
        <w:trPr>
          <w:trHeight w:val="224"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Площадь</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3,9</w:t>
            </w:r>
          </w:p>
        </w:tc>
      </w:tr>
      <w:tr>
        <w:trPr>
          <w:trHeight w:val="417"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Объем отгруженных товаров собственного производства, выполненных работ и услуг собственными силами</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163"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Обрабатывающие производства</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3,37</w:t>
            </w:r>
          </w:p>
        </w:tc>
      </w:tr>
      <w:tr>
        <w:trPr>
          <w:trHeight w:val="270"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Промышленное производство</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28,6</w:t>
            </w:r>
          </w:p>
        </w:tc>
      </w:tr>
      <w:tr>
        <w:trPr>
          <w:trHeight w:val="287"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Продукция сельского хозяйства, всего</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2,76</w:t>
            </w:r>
          </w:p>
        </w:tc>
      </w:tr>
      <w:tr>
        <w:trPr>
          <w:trHeight w:val="236"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Растениеводство</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1,84</w:t>
            </w:r>
          </w:p>
        </w:tc>
      </w:tr>
      <w:tr>
        <w:trPr>
          <w:trHeight w:val="212"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Животноводство</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4,8</w:t>
            </w:r>
          </w:p>
        </w:tc>
      </w:tr>
      <w:tr>
        <w:trPr>
          <w:trHeight w:val="273"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Ввод в действие жилых домов</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0,25</w:t>
            </w:r>
          </w:p>
        </w:tc>
      </w:tr>
      <w:tr>
        <w:trPr>
          <w:trHeight w:val="292"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Оборот розничной торговли</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0,13</w:t>
            </w:r>
          </w:p>
        </w:tc>
      </w:tr>
      <w:tr>
        <w:trPr>
          <w:trHeight w:val="283"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w:t>
            </w:r>
          </w:p>
        </w:tc>
        <w:tc>
          <w:tcPr>
            <w:tcW w:w="61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Инвестиции в основной капитал</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w:t>
            </w:r>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Природные условия. Территория Туркменского муниципального округа расположена в сухостепной зоне Ставропольского края. Климат Туркменского муниципального округа определяется территорией его расположения. По климатическим показателям территория Туркменского муниципального округа относится к степной зоне неустойчивого увлажнения. Туркменский муниципальный округ входит в засушливую аэроклиматологическую зону с резко континентальным климатом, для которого характерно выпадение малого количества осадков и преобладание восточных ветров.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Туркменском муниципальном округе нередки атмосферная засуха и сильные ветры суховеи. Количество осадков за год составляет 350-400 мм, а в засушливые годы снижается до 200 мм и менее. В Туркменском муниципальном округе преобладают восточные и западные ветры, причем их наибольшая сила наблюдается в марте-апреле. В среднем бывает 25 дней в году, когда скорость ветра превышает 15 метров в секунду.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Территория Туркменского муниципального округа подвержена влиянию арктических масс воздуха и воздушных масс умеренных широт, а также, приходящих из тропиков и субтропиков. Арктический воздух приходит на территорию Туркменского муниципального округа осенью и зимой, вызывая резкие похолодания. На климат Туркменского муниципального округа влияют и сибирские антициклоны, которые приносят пасмурную погоду с сильными ветрами и снегопадами. Лето продолжительное, обычно очень жаркое и засушливое. Осень является наиболее устойчивым временем года.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Средняя температура зимой - 6С, летом +32С. Рельеф в основном слабоволнистый с постоянным падением высот, пересеченный балками.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Почвы отличаются большим разнообразием, наиболее распространены: черноземы предкавказские, тяжелые суглинистые, темно-каштановые, в том числе солонцов до 10 процентов. Для каштановых почв характерны непромывной тип водного режима, глубина их промачивания колеблется в зависимости от рельефа, и обычно составляет 70-130 см. Почвообразующие породы здесь представлены пылеватыми и засоленными пылеватыми суглинками. Светло-каштановые почвы сформированы в сухом климатическом районе и характеризуются меньшим плодородием. Такие типы почв благоприятны для выращивания садово-ягодных культур и зерновых культур.</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Чаще всего на территории Туркменского муниципального округа почвы характеризуются суглинистым составом. Почвы являются эрозионно-опасными. Содержание гумуса в почвах низкое, изменяется от 1 до 4 процентов.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Большая часть территории распахана. По показателю доля пашни с низким содержанием органического вещества Туркменский муниципальный округ относится к первой аэроклиматологической зоне - со средним показателем содержанием подвижного фосфора. Темно-каштановые почвы Туркменского муниципального округа имеют высокое содержание обменного калия и относительно обеспечены марганцем. Пахотные почвы испытывают недостаток меди.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Для всей территории Туркменского муниципального округа характерна растительность ковыльно-типчаковых степей: типчак, мятлик, овсяница, полынь. Как упоминалось выше, эта природная зона сильно распахана, и девственных степей на рассматриваемой территории практически не осталось. Вся территория покрыта системой полезащитных лесных полос. Удельный вес полезащитных лесных насаждений к пашне составляет 1-2 процента.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На территории Туркменского муниципального округа минерально-сырьевая база характеризуется наличием месторождений общераспространенных полезных ископаемых: пески, глины. Имеющиеся на территории Туркменского муниципального округа месторождения газа в настоящее время не разрабатываются, так как относятся к категориям трудноизвлекаемых и нерентабельны для разработки при современном уровне развития технологии разработки месторождений и мировых цен.</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Месторождение гипса в пос. Поперечный незначительно по запасам (около 160 тыс. тонн). Месторождение титаноциркониевых руд в пос. Поперечный находится в стадии геологического изучения и оценки. Площадь Туркменского муниципального округа по категориям отражена в таблице 11.</w:t>
      </w:r>
    </w:p>
    <w:p>
      <w:pPr>
        <w:pStyle w:val="Normal"/>
        <w:spacing w:lineRule="auto" w:line="240" w:before="0" w:after="0"/>
        <w:ind w:firstLine="567"/>
        <w:jc w:val="right"/>
        <w:rPr>
          <w:rFonts w:ascii="Times New Roman" w:hAnsi="Times New Roman" w:cs="Times New Roman"/>
          <w:sz w:val="24"/>
          <w:szCs w:val="28"/>
        </w:rPr>
      </w:pPr>
      <w:r>
        <w:rPr>
          <w:rFonts w:cs="Times New Roman" w:ascii="Times New Roman" w:hAnsi="Times New Roman"/>
          <w:sz w:val="24"/>
          <w:szCs w:val="28"/>
        </w:rPr>
        <w:t>Таблица 11.</w:t>
      </w:r>
    </w:p>
    <w:p>
      <w:pPr>
        <w:pStyle w:val="Normal"/>
        <w:spacing w:lineRule="auto" w:line="240" w:before="0" w:after="0"/>
        <w:ind w:firstLine="567"/>
        <w:jc w:val="center"/>
        <w:rPr>
          <w:rFonts w:ascii="Times New Roman" w:hAnsi="Times New Roman" w:cs="Times New Roman"/>
          <w:sz w:val="24"/>
          <w:szCs w:val="28"/>
        </w:rPr>
      </w:pPr>
      <w:r>
        <w:rPr>
          <w:rFonts w:cs="Times New Roman" w:ascii="Times New Roman" w:hAnsi="Times New Roman"/>
          <w:sz w:val="24"/>
          <w:szCs w:val="28"/>
        </w:rPr>
        <w:t>Площадь Туркменского муниципального округа распределяется по категориям</w:t>
      </w:r>
    </w:p>
    <w:tbl>
      <w:tblPr>
        <w:tblW w:w="9354" w:type="dxa"/>
        <w:jc w:val="left"/>
        <w:tblInd w:w="145" w:type="dxa"/>
        <w:tblLayout w:type="fixed"/>
        <w:tblCellMar>
          <w:top w:w="0" w:type="dxa"/>
          <w:left w:w="5" w:type="dxa"/>
          <w:bottom w:w="0" w:type="dxa"/>
          <w:right w:w="5" w:type="dxa"/>
        </w:tblCellMar>
        <w:tblLook w:val="04a0"/>
      </w:tblPr>
      <w:tblGrid>
        <w:gridCol w:w="650"/>
        <w:gridCol w:w="4953"/>
        <w:gridCol w:w="1767"/>
        <w:gridCol w:w="1983"/>
      </w:tblGrid>
      <w:tr>
        <w:trPr>
          <w:trHeight w:val="293"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п/п</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Категория земли</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Площадь, тыс. га</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к общей площади округа</w:t>
            </w:r>
          </w:p>
        </w:tc>
      </w:tr>
      <w:tr>
        <w:trPr>
          <w:trHeight w:val="157"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r>
      <w:tr>
        <w:trPr>
          <w:trHeight w:val="276"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Земли сельскохозяйственного назначения</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251,895</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96,44</w:t>
            </w:r>
          </w:p>
        </w:tc>
      </w:tr>
      <w:tr>
        <w:trPr>
          <w:trHeight w:val="222"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Земли населенных пунктов</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2,957</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1,13</w:t>
            </w:r>
          </w:p>
        </w:tc>
      </w:tr>
      <w:tr>
        <w:trPr>
          <w:trHeight w:val="275"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Земли промышленности, транспорта, связи</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0,766</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0,29</w:t>
            </w:r>
          </w:p>
        </w:tc>
      </w:tr>
      <w:tr>
        <w:trPr>
          <w:trHeight w:val="23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Земли лесного фонда</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2,720</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1,04</w:t>
            </w:r>
          </w:p>
        </w:tc>
      </w:tr>
      <w:tr>
        <w:trPr>
          <w:trHeight w:val="276"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c>
          <w:tcPr>
            <w:tcW w:w="49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Земли водного фонда</w:t>
            </w:r>
          </w:p>
        </w:tc>
        <w:tc>
          <w:tcPr>
            <w:tcW w:w="17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2,858</w:t>
            </w:r>
          </w:p>
        </w:tc>
        <w:tc>
          <w:tcPr>
            <w:tcW w:w="19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1,09</w:t>
            </w:r>
          </w:p>
        </w:tc>
      </w:tr>
    </w:tbl>
    <w:p>
      <w:pPr>
        <w:pStyle w:val="Normal"/>
        <w:spacing w:lineRule="auto" w:line="240" w:before="0" w:after="0"/>
        <w:jc w:val="center"/>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rPr>
          <w:rFonts w:ascii="Times New Roman" w:hAnsi="Times New Roman" w:cs="Times New Roman"/>
          <w:bCs/>
          <w:sz w:val="24"/>
          <w:szCs w:val="28"/>
        </w:rPr>
      </w:pPr>
      <w:r>
        <w:rPr>
          <w:rFonts w:cs="Times New Roman" w:ascii="Times New Roman" w:hAnsi="Times New Roman"/>
          <w:bCs/>
          <w:sz w:val="24"/>
          <w:szCs w:val="28"/>
        </w:rPr>
        <w:t>Промышленность</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Одним из значительных потенциалов округа является промышленность, как один из видов экономической деятельности, который имеет долгосрочные конкурентные перспективы развития, и усиление ее позиций рассматривается в числе стратегических направлений развития Туркменского муниципального округа в целом.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Основным направлением развития промышленности является создание перерабатывающей промышленности на основе, производимой в Туркменском муниципальном округе сельскохозяйственной продукции. «Точкой роста» может стать строительство комбикормовых цехов, цехов первичной переработки мяса, глубокая переработка зерна и масло семян. Реализация данных инвестиционных проектов создаст серьезную основу для позитивного экономического развития Туркменского муниципального округа, позволит обеспечить его устойчивое развитие. Строительство комбикормовых предприятий позволит улучшить сбыт сельскохозяйственной продукции (зерна) аграриям Туркменского муниципального округа, обеспечит кормами отрасль животноводства, в том числе все планируемые к строительству животноводческие комплексы будут обеспечены кормами собственного производства, и соответственно выращенная животноводческая продукция поступит на переработку.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Стратегией социально-экономического развития Ставропольского края до 2035 года отмечено, что перспективным направлением развития Туркменского округа к 2036 году станет перерабатывающая промышленность.</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Основными задачами реализации Стратегии в сфере развития промышленности являются: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увеличение доли производства промышленности в общем объеме выпуска товаров, работ и услуг организаций, осуществляющих деятельность на территории Туркменского муниципального округа;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создание благоприятного инвестиционного климата для проведения технического перевооружения, реконструкции и нового строительства объектов на основе инновационных технологий и ресурсосберегающего оборудования с соблюдением экологического законодательства;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привлечение инвестиций в основной капитал предприятий промышленных видов экономической деятельности;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внедрение муниципально-частного партнерства.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Одними из мероприятий, проводимых в рамках реализации задач, являются: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повышение доступности заемных средств для финансирования производственной деятельности промышленных предприятий (содействие в использовании инструментов поддержки общества с ограниченной ответственностью «Гарантийный фонд поддержки субъектов малого и среднего предпринимательства в Ставропольском крае», некоммерческих организаций «Фонд содействия инновационному развитию Ставропольского края» и «Фонд развития промышленности в Ставропольском крае»);</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привлечение инвестиций в создание новых производств и увеличение собственных инвестиций отрасли на поддержание темпов ее устойчивого развития, а также дальнейшая модернизация материально-технической базы, и сохранение высокого уровня технологии производства;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административное сопровождение проектов по предоставлению комплексной финансовой поддержки, включающей льготные займы, содействие возмещению части затрат по созданию объектов капитального строительства инженерной инфраструктуры, их подключению к инженерным системам электро-, газо-, водоснабжения.</w:t>
      </w:r>
    </w:p>
    <w:p>
      <w:pPr>
        <w:pStyle w:val="Normal"/>
        <w:spacing w:lineRule="auto" w:line="240" w:before="0" w:after="0"/>
        <w:ind w:firstLine="567"/>
        <w:jc w:val="both"/>
        <w:rPr>
          <w:rFonts w:ascii="Times New Roman" w:hAnsi="Times New Roman" w:cs="Times New Roman"/>
          <w:iCs/>
          <w:sz w:val="24"/>
          <w:szCs w:val="28"/>
        </w:rPr>
      </w:pPr>
      <w:r>
        <w:rPr>
          <w:rFonts w:cs="Times New Roman" w:ascii="Times New Roman" w:hAnsi="Times New Roman"/>
          <w:iCs/>
          <w:sz w:val="24"/>
          <w:szCs w:val="28"/>
        </w:rPr>
        <w:t>Ожидаемые результаты: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повышение конкурентоспособности и расширение рынков сбыта;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пищевых продуктов, производимых в Туркменском муниципальном округе;</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увеличение доли малых и средних предприятий в реальном секторе</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экономики;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создание сельскохозяйственных потребительских кооперативов.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3.2. Динамика и прогноз численности населения.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Прогнозирование численности населения в документах территориального планирования преследует две цели. Во-первых, это прогнозирование общей численности населения объекта планирования, а также отдельных населенных пунктов, входящих в его состав. Во-вторых, это прогнозирование не только численности, но и половозрастной структуры населения.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как правило, не зависят от их характеристик в предыдущем.</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Изменение демографических показателей Туркменского муниципального округа в значительной степени зависит от успешного решения задач социально-экономического развития, включая обеспечение стабильного экономического роста и роста благосостояния населения, создание эффективной социальной инфраструктуры (здравоохранение, образование, культурное обслуживание, физическая культура и спорт), рынка доступного жилья и гибкого рынка труда.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Перспективную численность населения Туркменского муниципального округа будут определять два фактора – естественное и механическое движение населения. При определении прогнозной численности населения учитывается современная численность населения и основные показатели естественного и миграционного движения населения, подробный анализ существующей демографической ситуации в Туркменского муниципальном округе представлен в разделе 5.1 настоящего тома.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качестве основной при составлении демографического прогноза использована линейная функция экстраполяции. Она применяется при допущении условия постоянного абсолютного прироста (или убыли) населения, и ее уравнение имеет следующий вид:</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Nt = No (1+kt),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где Nt – численность населения через t лет; N0 – начальная численность населения; k – среднегодовой прирост населения; t – период прогнозирования.</w:t>
      </w:r>
    </w:p>
    <w:p>
      <w:pPr>
        <w:pStyle w:val="Normal"/>
        <w:spacing w:lineRule="auto" w:line="240" w:before="0" w:after="0"/>
        <w:ind w:firstLine="567"/>
        <w:jc w:val="right"/>
        <w:rPr>
          <w:rFonts w:ascii="Times New Roman" w:hAnsi="Times New Roman" w:cs="Times New Roman"/>
          <w:sz w:val="24"/>
          <w:szCs w:val="24"/>
        </w:rPr>
      </w:pPr>
      <w:bookmarkStart w:id="18" w:name="_Toc159836026"/>
      <w:bookmarkStart w:id="19" w:name="_Toc165189312"/>
      <w:r>
        <w:rPr>
          <w:rFonts w:cs="Times New Roman" w:ascii="Times New Roman" w:hAnsi="Times New Roman"/>
          <w:sz w:val="24"/>
          <w:szCs w:val="24"/>
        </w:rPr>
        <w:t xml:space="preserve">Таблица </w:t>
      </w:r>
      <w:bookmarkEnd w:id="18"/>
      <w:bookmarkEnd w:id="19"/>
      <w:r>
        <w:rPr>
          <w:rFonts w:cs="Times New Roman" w:ascii="Times New Roman" w:hAnsi="Times New Roman"/>
          <w:sz w:val="24"/>
          <w:szCs w:val="24"/>
        </w:rPr>
        <w:t>12.</w:t>
      </w:r>
    </w:p>
    <w:p>
      <w:pPr>
        <w:pStyle w:val="Normal"/>
        <w:spacing w:lineRule="auto" w:line="240"/>
        <w:ind w:firstLine="567"/>
        <w:jc w:val="center"/>
        <w:rPr>
          <w:rFonts w:ascii="Times New Roman" w:hAnsi="Times New Roman" w:cs="Times New Roman"/>
          <w:sz w:val="24"/>
          <w:szCs w:val="24"/>
        </w:rPr>
      </w:pPr>
      <w:r>
        <w:rPr>
          <w:rFonts w:cs="Times New Roman" w:ascii="Times New Roman" w:hAnsi="Times New Roman"/>
          <w:sz w:val="24"/>
          <w:szCs w:val="24"/>
        </w:rPr>
        <w:t>Демографический прогноз для территории Туркменского муниципального округа в разрезе территориальных отделов и населенных пунктов (2023-2041 гг.)</w:t>
      </w:r>
    </w:p>
    <w:tbl>
      <w:tblPr>
        <w:tblW w:w="9498" w:type="dxa"/>
        <w:jc w:val="left"/>
        <w:tblInd w:w="447" w:type="dxa"/>
        <w:tblLayout w:type="fixed"/>
        <w:tblCellMar>
          <w:top w:w="0" w:type="dxa"/>
          <w:left w:w="108" w:type="dxa"/>
          <w:bottom w:w="0" w:type="dxa"/>
          <w:right w:w="108" w:type="dxa"/>
        </w:tblCellMar>
        <w:tblLook w:val="04a0"/>
      </w:tblPr>
      <w:tblGrid>
        <w:gridCol w:w="567"/>
        <w:gridCol w:w="3254"/>
        <w:gridCol w:w="762"/>
        <w:gridCol w:w="806"/>
        <w:gridCol w:w="763"/>
        <w:gridCol w:w="1643"/>
        <w:gridCol w:w="1702"/>
      </w:tblGrid>
      <w:tr>
        <w:trPr>
          <w:tblHeader w:val="true"/>
          <w:trHeight w:val="513"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п/п</w:t>
            </w:r>
          </w:p>
        </w:tc>
        <w:tc>
          <w:tcPr>
            <w:tcW w:w="32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Территориальный отдел</w:t>
            </w:r>
          </w:p>
        </w:tc>
        <w:tc>
          <w:tcPr>
            <w:tcW w:w="7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2023</w:t>
            </w:r>
          </w:p>
        </w:tc>
        <w:tc>
          <w:tcPr>
            <w:tcW w:w="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2028</w:t>
            </w:r>
          </w:p>
        </w:tc>
        <w:tc>
          <w:tcPr>
            <w:tcW w:w="7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2041</w:t>
            </w:r>
          </w:p>
        </w:tc>
        <w:tc>
          <w:tcPr>
            <w:tcW w:w="16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Темп роста 2028г. к 2023 г.</w:t>
            </w:r>
          </w:p>
        </w:tc>
        <w:tc>
          <w:tcPr>
            <w:tcW w:w="17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cs="Times New Roman"/>
                <w:sz w:val="20"/>
                <w:szCs w:val="20"/>
              </w:rPr>
            </w:pPr>
            <w:r>
              <w:rPr>
                <w:rFonts w:cs="Times New Roman" w:ascii="Times New Roman" w:hAnsi="Times New Roman"/>
                <w:sz w:val="20"/>
                <w:szCs w:val="20"/>
              </w:rPr>
              <w:t>Темп роста 2041 г. к 2023 г.</w:t>
            </w:r>
          </w:p>
        </w:tc>
      </w:tr>
      <w:tr>
        <w:trPr>
          <w:trHeight w:val="209"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Туркменский МО</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22217</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21097</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11031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95,0</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49,7</w:t>
            </w:r>
          </w:p>
        </w:tc>
      </w:tr>
      <w:tr>
        <w:trPr>
          <w:trHeight w:val="258"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Березовский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290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251</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178</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86,6</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61,4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Владимировка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1010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1017</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1030</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100,7</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102,0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3</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Голубиный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285</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262</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0</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91,9</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0,0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Казгулак</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1578</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1414</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1108</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89,6</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70,2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5</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Камбулат</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2041</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2048</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2061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100,3</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101,0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Кендже-Кулак</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945</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903</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826</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95,6</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87,4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Красная Поляна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150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137</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112</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91,3</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74,7</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Красный Маныч</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720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677</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598</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94,0</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83,1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а. Куликовы Копани</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1105</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1039</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916</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94,0</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82,9</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Кучерла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1174</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1109</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988</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94,5</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84,2</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Летняя Ставка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3855</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3631</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3214</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94,2</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83,4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12</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Малые Ягуры</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1813</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1725</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1561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95,1</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86,1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13</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а. Маштак-Кулак</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290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278</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256</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95,9</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88,3</w:t>
            </w:r>
          </w:p>
        </w:tc>
      </w:tr>
      <w:tr>
        <w:trPr>
          <w:trHeight w:val="282"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14</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Новокучерлинский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59</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0</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59,0</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0,0</w:t>
            </w:r>
          </w:p>
        </w:tc>
      </w:tr>
      <w:tr>
        <w:trPr>
          <w:trHeight w:val="289"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15</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Новорагулинский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185</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168</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136</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90,8</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73,5</w:t>
            </w:r>
          </w:p>
        </w:tc>
      </w:tr>
      <w:tr>
        <w:trPr>
          <w:trHeight w:val="281"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 Овощи</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2150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2056</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1881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95,6</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87,5</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17</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Отрадный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150</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131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93,8</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81,9</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Поперечный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143</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74</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79,4</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41,1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19</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Прудовый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80</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43</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80,0</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43,0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20</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а. Сабан-Антуста</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772</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750</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710</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97,2</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92,0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21</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Таврический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186</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161</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115</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86,6</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61,8</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22</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Троицкий</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178</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161</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131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90,4</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73,6</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23</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а. Чур</w:t>
            </w:r>
          </w:p>
        </w:tc>
        <w:tc>
          <w:tcPr>
            <w:tcW w:w="76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600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560</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486</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93,3</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81,0</w:t>
            </w:r>
          </w:p>
        </w:tc>
      </w:tr>
      <w:tr>
        <w:trPr>
          <w:trHeight w:val="192"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24</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а. Шарахалсун</w:t>
            </w:r>
          </w:p>
        </w:tc>
        <w:tc>
          <w:tcPr>
            <w:tcW w:w="76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1620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1634</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1661</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100,9</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102,5</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25</w:t>
            </w:r>
          </w:p>
        </w:tc>
        <w:tc>
          <w:tcPr>
            <w:tcW w:w="325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п. Ясный</w:t>
            </w:r>
          </w:p>
        </w:tc>
        <w:tc>
          <w:tcPr>
            <w:tcW w:w="76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730</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685</w:t>
            </w:r>
          </w:p>
        </w:tc>
        <w:tc>
          <w:tcPr>
            <w:tcW w:w="7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603</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93,8</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82,6</w:t>
            </w:r>
          </w:p>
        </w:tc>
      </w:tr>
    </w:tbl>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13.</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Прогноз возрастной структуры населения для территории Туркменского муниципального округа (2023-2041 гг.)</w:t>
      </w:r>
    </w:p>
    <w:tbl>
      <w:tblPr>
        <w:tblW w:w="9668" w:type="dxa"/>
        <w:jc w:val="left"/>
        <w:tblInd w:w="447" w:type="dxa"/>
        <w:tblLayout w:type="fixed"/>
        <w:tblCellMar>
          <w:top w:w="0" w:type="dxa"/>
          <w:left w:w="108" w:type="dxa"/>
          <w:bottom w:w="0" w:type="dxa"/>
          <w:right w:w="108" w:type="dxa"/>
        </w:tblCellMar>
        <w:tblLook w:val="04a0"/>
      </w:tblPr>
      <w:tblGrid>
        <w:gridCol w:w="3846"/>
        <w:gridCol w:w="1219"/>
        <w:gridCol w:w="1766"/>
        <w:gridCol w:w="1204"/>
        <w:gridCol w:w="1633"/>
      </w:tblGrid>
      <w:tr>
        <w:trPr/>
        <w:tc>
          <w:tcPr>
            <w:tcW w:w="3846"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Возрастная группа</w:t>
            </w:r>
          </w:p>
        </w:tc>
        <w:tc>
          <w:tcPr>
            <w:tcW w:w="298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2031 г. (первая очередь)</w:t>
            </w:r>
          </w:p>
        </w:tc>
        <w:tc>
          <w:tcPr>
            <w:tcW w:w="283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2041 г. (расчетный срок)</w:t>
            </w:r>
          </w:p>
        </w:tc>
      </w:tr>
      <w:tr>
        <w:trPr/>
        <w:tc>
          <w:tcPr>
            <w:tcW w:w="384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человек</w:t>
            </w:r>
          </w:p>
        </w:tc>
        <w:tc>
          <w:tcPr>
            <w:tcW w:w="17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(в общей численности населения</w:t>
            </w:r>
          </w:p>
        </w:tc>
        <w:tc>
          <w:tcPr>
            <w:tcW w:w="12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человек</w:t>
            </w:r>
          </w:p>
        </w:tc>
        <w:tc>
          <w:tcPr>
            <w:tcW w:w="16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(в общей численности населения</w:t>
            </w:r>
          </w:p>
        </w:tc>
      </w:tr>
      <w:tr>
        <w:trPr/>
        <w:tc>
          <w:tcPr>
            <w:tcW w:w="3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Моложе трудоспособного возраста</w:t>
            </w:r>
          </w:p>
        </w:tc>
        <w:tc>
          <w:tcPr>
            <w:tcW w:w="12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3776</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17,9</w:t>
            </w:r>
          </w:p>
        </w:tc>
        <w:tc>
          <w:tcPr>
            <w:tcW w:w="12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1611</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14,6</w:t>
            </w:r>
          </w:p>
        </w:tc>
      </w:tr>
      <w:tr>
        <w:trPr/>
        <w:tc>
          <w:tcPr>
            <w:tcW w:w="3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Трудоспособного возраста</w:t>
            </w:r>
          </w:p>
        </w:tc>
        <w:tc>
          <w:tcPr>
            <w:tcW w:w="12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12342</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58,5</w:t>
            </w:r>
          </w:p>
        </w:tc>
        <w:tc>
          <w:tcPr>
            <w:tcW w:w="12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6806</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61,7</w:t>
            </w:r>
          </w:p>
        </w:tc>
      </w:tr>
      <w:tr>
        <w:trPr/>
        <w:tc>
          <w:tcPr>
            <w:tcW w:w="3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Старше трудоспособного возраста</w:t>
            </w:r>
          </w:p>
        </w:tc>
        <w:tc>
          <w:tcPr>
            <w:tcW w:w="12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4979</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23,6</w:t>
            </w:r>
          </w:p>
        </w:tc>
        <w:tc>
          <w:tcPr>
            <w:tcW w:w="12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2614</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23,7</w:t>
            </w:r>
          </w:p>
        </w:tc>
      </w:tr>
      <w:tr>
        <w:trPr/>
        <w:tc>
          <w:tcPr>
            <w:tcW w:w="3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Доля на селения в возрасте от 0 до 6 лет</w:t>
            </w:r>
          </w:p>
        </w:tc>
        <w:tc>
          <w:tcPr>
            <w:tcW w:w="12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1857</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8,8</w:t>
            </w:r>
          </w:p>
        </w:tc>
        <w:tc>
          <w:tcPr>
            <w:tcW w:w="12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706</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6,4</w:t>
            </w:r>
          </w:p>
        </w:tc>
      </w:tr>
      <w:tr>
        <w:trPr/>
        <w:tc>
          <w:tcPr>
            <w:tcW w:w="3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Доля населения в возрасте от 7 до 17 лет</w:t>
            </w:r>
          </w:p>
        </w:tc>
        <w:tc>
          <w:tcPr>
            <w:tcW w:w="12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2869</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13,6</w:t>
            </w:r>
          </w:p>
        </w:tc>
        <w:tc>
          <w:tcPr>
            <w:tcW w:w="12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1147</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10,4</w:t>
            </w:r>
            <w:bookmarkStart w:id="20" w:name="_Hlk54795795"/>
            <w:bookmarkEnd w:id="20"/>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Прогноз возрастной структуры населения для территории Туркменского муниципального округа в разрезе территориальных отделов и населенных пунктов (2023-2041 гг.) выполнен в соответствии с официальным прогнозом численности населения Ставропольского края, опубликованном на официальном сайте Управления Федеральной службы государственной статистики по Северо-Кавказскому федеральному округу.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Для обеспечения положительного естественного движения населения необходимо решить целый ряд задач:</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сокращение уровня смертности от заболеваний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сокращение уровня смертности и травматизма, прежде всего в трудоспособном возрасте от внешних причин, в результате дорожно-транспортных происшествий, от несчастных случаев на производстве и профессиональных заболеваний;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сокращение уровня материнской и младенческой смертности, укрепление репродуктивного здоровья населения, здоровья детей и подростков;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повышение уровня рождаемости за счет рождения в семьях второго ребенка и последующих детей, ориентация на многодетные семьи;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создание дополнительных мер государственной поддержки семей, имеющих детей;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r>
        <w:rPr>
          <w:rFonts w:cs="Times New Roman" w:ascii="Times New Roman" w:hAnsi="Times New Roman"/>
          <w:sz w:val="24"/>
          <w:szCs w:val="28"/>
        </w:rPr>
        <w:t>уменьшение оттока трудоспособного населения и привлечение молодых квалифицированных специалистов.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3.3. Прогноз развития застройки Туркменского муниципального округа Ставропольского края.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Жилищное хозяйство является одним из основных видов деятельности, от функционирования, которого непосредственно зависит уровень жизни населения. В соответствии с действующей классификацией статистическое наблюдение в жилищной сфере отражает состояние жилищного фонда, степень его благоустройства и изношенности, капитальный ремонт жилищного фонда, приватизацию жилья гражданами, обеспечение жильем населения. Основной частью жилищного хозяйства является жилищный фонд.</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Прогноз застройки преимущественно или исключительно жилыми домами и являющиеся основной составляющей селитебной территории. На разных иерархических уровнях понятие «жилые территории» наполняется разным конкретным содержанием: в жилых кварталах и микрорайонах – это территории, застроенные только жилыми домами; в жилых районах – территории жилых кварталов (микрорайонов); в границах селитебной территории – жилые районы, а при отсутствии последних – жилые кварталы (микрорайоны).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Основу жилых территорий составляет жилой фонд – важнейшая часть социальной инфраструктуры, призванная обеспечивать удовлетворение социально-бытовых нужд человека.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Жилищный фонд. </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Жилищный фонд – совокупность всех жилых помещений, находящихся на территории субъекта Российской Федерации.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В составе жилищного фонда не учитываются дачи, летние садовые домики, спортивные и туристические базы, мотели, кемпинги, санатории, дома отдыха, пансионаты, дома для приезжих, гостиницы, казармы, кельи, железнодорожные вагончики и другие строения.</w:t>
      </w:r>
    </w:p>
    <w:p>
      <w:pPr>
        <w:pStyle w:val="Normal"/>
        <w:spacing w:lineRule="auto" w:line="240" w:before="0" w:after="0"/>
        <w:ind w:firstLine="567"/>
        <w:jc w:val="both"/>
        <w:rPr/>
      </w:pPr>
      <w:r>
        <w:rPr>
          <w:rFonts w:cs="Times New Roman" w:ascii="Times New Roman" w:hAnsi="Times New Roman"/>
          <w:sz w:val="24"/>
          <w:szCs w:val="28"/>
        </w:rPr>
        <w:t>Общая площадь жилого фонда Туркменского муниципального округа по итогам 2025 года составляла 593,3 тыс. м² (0,81 % от общей площади жилищного фонда Ставропольского края).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динамике жилищного фонда Туркменского муниципального округа 2010-2025 гг. наблюдается тенденция увеличения общей площади жилых домов – 48,5 тыс. м</w:t>
      </w:r>
      <w:r>
        <w:rPr>
          <w:rFonts w:cs="Times New Roman" w:ascii="Times New Roman" w:hAnsi="Times New Roman"/>
          <w:sz w:val="24"/>
          <w:szCs w:val="28"/>
          <w:vertAlign w:val="superscript"/>
        </w:rPr>
        <w:t>2</w:t>
      </w:r>
      <w:r>
        <w:rPr>
          <w:rFonts w:cs="Times New Roman" w:ascii="Times New Roman" w:hAnsi="Times New Roman"/>
          <w:sz w:val="24"/>
          <w:szCs w:val="28"/>
        </w:rPr>
        <w:t>, или на 8,1 %, что соответствует общим тенденциям в Ставропольском крае в целом.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В соответствии с прогнозным расчетом, общий объем жилищного фонда Туркменского </w:t>
      </w:r>
      <w:r>
        <w:rPr>
          <w:rFonts w:eastAsia="Times New Roman" w:cs="Times New Roman" w:ascii="Times New Roman" w:hAnsi="Times New Roman"/>
          <w:sz w:val="24"/>
          <w:szCs w:val="28"/>
          <w:lang w:eastAsia="ru-RU"/>
        </w:rPr>
        <w:t>муниципального округа</w:t>
      </w:r>
      <w:r>
        <w:rPr>
          <w:rFonts w:cs="Times New Roman" w:ascii="Times New Roman" w:hAnsi="Times New Roman"/>
          <w:sz w:val="24"/>
          <w:szCs w:val="28"/>
        </w:rPr>
        <w:t xml:space="preserve"> должен увеличиться к концу прогнозируемого периода (2041 г.) до 927,5 тыс. кв. м. (в 1,7 раза). Объем нового жилищного строительства за весь прогнозный период 2026 – 2041 гг. может составить порядка 383,2 тыс. кв. м. При этом жилищная обеспеченность к 2041 г. должна составить около 35 кв. м. на человека. При такой обеспеченности возможно достижение распространенного социального стандарта, когда количество комнат в жилом помещении для семьи = (N+1), где N – количество членов семьи. </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Среднегодовые объемы строительства в Туркменском </w:t>
      </w:r>
      <w:r>
        <w:rPr>
          <w:rFonts w:eastAsia="Times New Roman" w:cs="Times New Roman" w:ascii="Times New Roman" w:hAnsi="Times New Roman"/>
          <w:sz w:val="24"/>
          <w:szCs w:val="28"/>
          <w:lang w:eastAsia="ru-RU"/>
        </w:rPr>
        <w:t>муниципальном округе</w:t>
      </w:r>
      <w:r>
        <w:rPr>
          <w:rFonts w:cs="Times New Roman" w:ascii="Times New Roman" w:hAnsi="Times New Roman"/>
          <w:sz w:val="24"/>
          <w:szCs w:val="28"/>
        </w:rPr>
        <w:t xml:space="preserve"> ориентировочно должны составить около 12,7 тыс. кв. м. в год.</w:t>
      </w:r>
    </w:p>
    <w:p>
      <w:pPr>
        <w:pStyle w:val="Normal"/>
        <w:spacing w:lineRule="auto" w:line="240" w:before="0" w:after="0"/>
        <w:ind w:firstLine="567"/>
        <w:jc w:val="right"/>
        <w:rPr>
          <w:rFonts w:ascii="Times New Roman" w:hAnsi="Times New Roman" w:cs="Times New Roman"/>
          <w:sz w:val="24"/>
          <w:szCs w:val="28"/>
        </w:rPr>
      </w:pPr>
      <w:r>
        <w:rPr>
          <w:rFonts w:cs="Times New Roman" w:ascii="Times New Roman" w:hAnsi="Times New Roman"/>
          <w:sz w:val="24"/>
          <w:szCs w:val="28"/>
        </w:rPr>
        <w:t>Таблица 14.</w:t>
      </w:r>
    </w:p>
    <w:p>
      <w:pPr>
        <w:pStyle w:val="Normal"/>
        <w:spacing w:lineRule="auto" w:line="240" w:before="0" w:after="0"/>
        <w:ind w:firstLine="567"/>
        <w:jc w:val="center"/>
        <w:rPr>
          <w:rFonts w:ascii="Times New Roman" w:hAnsi="Times New Roman" w:cs="Times New Roman"/>
          <w:sz w:val="24"/>
          <w:szCs w:val="28"/>
        </w:rPr>
      </w:pPr>
      <w:r>
        <w:rPr>
          <w:rFonts w:cs="Times New Roman" w:ascii="Times New Roman" w:hAnsi="Times New Roman"/>
          <w:sz w:val="24"/>
          <w:szCs w:val="28"/>
        </w:rPr>
        <w:t>Объемы нового жилищного строительства в Туркменском муниципальном округе</w:t>
      </w:r>
    </w:p>
    <w:tbl>
      <w:tblPr>
        <w:tblW w:w="9878" w:type="dxa"/>
        <w:jc w:val="center"/>
        <w:tblInd w:w="0" w:type="dxa"/>
        <w:tblLayout w:type="fixed"/>
        <w:tblCellMar>
          <w:top w:w="0" w:type="dxa"/>
          <w:left w:w="5" w:type="dxa"/>
          <w:bottom w:w="0" w:type="dxa"/>
          <w:right w:w="5" w:type="dxa"/>
        </w:tblCellMar>
        <w:tblLook w:val="04a0"/>
      </w:tblPr>
      <w:tblGrid>
        <w:gridCol w:w="2946"/>
        <w:gridCol w:w="2299"/>
        <w:gridCol w:w="2284"/>
        <w:gridCol w:w="2348"/>
      </w:tblGrid>
      <w:tr>
        <w:trPr>
          <w:cantSplit w:val="true"/>
        </w:trPr>
        <w:tc>
          <w:tcPr>
            <w:tcW w:w="29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2009 – 2041 гг.</w:t>
            </w:r>
          </w:p>
        </w:tc>
        <w:tc>
          <w:tcPr>
            <w:tcW w:w="22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2009 - 2015 гг.</w:t>
            </w:r>
          </w:p>
        </w:tc>
        <w:tc>
          <w:tcPr>
            <w:tcW w:w="22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2016 - 2025 гг.</w:t>
            </w:r>
          </w:p>
        </w:tc>
        <w:tc>
          <w:tcPr>
            <w:tcW w:w="23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2026 - 2040 гг.</w:t>
            </w:r>
          </w:p>
        </w:tc>
      </w:tr>
      <w:tr>
        <w:trPr>
          <w:cantSplit w:val="true"/>
        </w:trPr>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кв. м</w:t>
            </w:r>
          </w:p>
        </w:tc>
        <w:tc>
          <w:tcPr>
            <w:tcW w:w="22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кв. м</w:t>
            </w:r>
          </w:p>
        </w:tc>
        <w:tc>
          <w:tcPr>
            <w:tcW w:w="22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кв. м</w:t>
            </w:r>
          </w:p>
        </w:tc>
        <w:tc>
          <w:tcPr>
            <w:tcW w:w="23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кв. м</w:t>
            </w:r>
          </w:p>
        </w:tc>
      </w:tr>
      <w:tr>
        <w:trPr>
          <w:cantSplit w:val="true"/>
        </w:trPr>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383,2</w:t>
            </w:r>
          </w:p>
        </w:tc>
        <w:tc>
          <w:tcPr>
            <w:tcW w:w="22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60,6</w:t>
            </w:r>
          </w:p>
        </w:tc>
        <w:tc>
          <w:tcPr>
            <w:tcW w:w="22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121,4</w:t>
            </w:r>
          </w:p>
        </w:tc>
        <w:tc>
          <w:tcPr>
            <w:tcW w:w="23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201,2</w:t>
            </w:r>
          </w:p>
        </w:tc>
      </w:tr>
      <w:tr>
        <w:trPr>
          <w:cantSplit w:val="true"/>
        </w:trPr>
        <w:tc>
          <w:tcPr>
            <w:tcW w:w="9877"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 среднем за период</w:t>
            </w:r>
          </w:p>
        </w:tc>
      </w:tr>
      <w:tr>
        <w:trPr>
          <w:cantSplit w:val="true"/>
        </w:trPr>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12,7</w:t>
            </w:r>
          </w:p>
        </w:tc>
        <w:tc>
          <w:tcPr>
            <w:tcW w:w="22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w:t>
            </w:r>
          </w:p>
        </w:tc>
        <w:tc>
          <w:tcPr>
            <w:tcW w:w="22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w:t>
            </w:r>
          </w:p>
        </w:tc>
        <w:tc>
          <w:tcPr>
            <w:tcW w:w="23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13,4</w:t>
            </w:r>
          </w:p>
        </w:tc>
      </w:tr>
    </w:tbl>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15.</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Объем и динамика жилищного фонда Ставропольского края и Туркменского муниципального округа</w:t>
      </w:r>
    </w:p>
    <w:tbl>
      <w:tblPr>
        <w:tblW w:w="9776" w:type="dxa"/>
        <w:jc w:val="left"/>
        <w:tblInd w:w="339" w:type="dxa"/>
        <w:tblLayout w:type="fixed"/>
        <w:tblCellMar>
          <w:top w:w="0" w:type="dxa"/>
          <w:left w:w="108" w:type="dxa"/>
          <w:bottom w:w="0" w:type="dxa"/>
          <w:right w:w="108" w:type="dxa"/>
        </w:tblCellMar>
        <w:tblLook w:val="04a0"/>
      </w:tblPr>
      <w:tblGrid>
        <w:gridCol w:w="1978"/>
        <w:gridCol w:w="989"/>
        <w:gridCol w:w="1002"/>
        <w:gridCol w:w="1139"/>
        <w:gridCol w:w="955"/>
        <w:gridCol w:w="948"/>
        <w:gridCol w:w="941"/>
        <w:gridCol w:w="984"/>
        <w:gridCol w:w="839"/>
      </w:tblGrid>
      <w:tr>
        <w:trPr/>
        <w:tc>
          <w:tcPr>
            <w:tcW w:w="1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Наименование территории</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2010</w:t>
            </w:r>
          </w:p>
        </w:tc>
        <w:tc>
          <w:tcPr>
            <w:tcW w:w="10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2020</w:t>
            </w:r>
          </w:p>
        </w:tc>
        <w:tc>
          <w:tcPr>
            <w:tcW w:w="11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2021</w:t>
            </w:r>
          </w:p>
        </w:tc>
        <w:tc>
          <w:tcPr>
            <w:tcW w:w="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2022</w:t>
            </w:r>
          </w:p>
        </w:tc>
        <w:tc>
          <w:tcPr>
            <w:tcW w:w="9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2023</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2024</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2025</w:t>
            </w:r>
          </w:p>
        </w:tc>
        <w:tc>
          <w:tcPr>
            <w:tcW w:w="8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2025 к</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2010, %</w:t>
            </w:r>
          </w:p>
        </w:tc>
      </w:tr>
      <w:tr>
        <w:trPr/>
        <w:tc>
          <w:tcPr>
            <w:tcW w:w="1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Всего по краю, тыс. м2</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59193,8</w:t>
            </w:r>
          </w:p>
        </w:tc>
        <w:tc>
          <w:tcPr>
            <w:tcW w:w="10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67935,6</w:t>
            </w:r>
          </w:p>
        </w:tc>
        <w:tc>
          <w:tcPr>
            <w:tcW w:w="11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68939,5</w:t>
            </w:r>
          </w:p>
        </w:tc>
        <w:tc>
          <w:tcPr>
            <w:tcW w:w="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69371,0</w:t>
            </w:r>
          </w:p>
        </w:tc>
        <w:tc>
          <w:tcPr>
            <w:tcW w:w="9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71045,2</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72284,5</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73669,9</w:t>
            </w:r>
          </w:p>
        </w:tc>
        <w:tc>
          <w:tcPr>
            <w:tcW w:w="8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124,5</w:t>
            </w:r>
          </w:p>
        </w:tc>
      </w:tr>
      <w:tr>
        <w:trPr/>
        <w:tc>
          <w:tcPr>
            <w:tcW w:w="1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Туркменский МО, тыс. м2</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546,8</w:t>
            </w:r>
          </w:p>
        </w:tc>
        <w:tc>
          <w:tcPr>
            <w:tcW w:w="10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582,2</w:t>
            </w:r>
          </w:p>
        </w:tc>
        <w:tc>
          <w:tcPr>
            <w:tcW w:w="11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585,7</w:t>
            </w:r>
          </w:p>
        </w:tc>
        <w:tc>
          <w:tcPr>
            <w:tcW w:w="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586,8</w:t>
            </w:r>
          </w:p>
        </w:tc>
        <w:tc>
          <w:tcPr>
            <w:tcW w:w="9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590,9</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592,9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595,3</w:t>
            </w:r>
          </w:p>
        </w:tc>
        <w:tc>
          <w:tcPr>
            <w:tcW w:w="8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shd w:fill="FFFF00" w:val="clear"/>
              </w:rPr>
            </w:pPr>
            <w:r>
              <w:rPr>
                <w:rFonts w:cs="Times New Roman" w:ascii="Times New Roman" w:hAnsi="Times New Roman"/>
                <w:sz w:val="20"/>
                <w:szCs w:val="20"/>
              </w:rPr>
              <w:t>108,9</w:t>
            </w:r>
          </w:p>
        </w:tc>
      </w:tr>
      <w:tr>
        <w:trPr/>
        <w:tc>
          <w:tcPr>
            <w:tcW w:w="1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Удельный вес МО, в жилищном фонде края, %</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0,92</w:t>
            </w:r>
          </w:p>
        </w:tc>
        <w:tc>
          <w:tcPr>
            <w:tcW w:w="10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0,86</w:t>
            </w:r>
          </w:p>
        </w:tc>
        <w:tc>
          <w:tcPr>
            <w:tcW w:w="11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0,85</w:t>
            </w:r>
          </w:p>
        </w:tc>
        <w:tc>
          <w:tcPr>
            <w:tcW w:w="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0,85</w:t>
            </w:r>
          </w:p>
        </w:tc>
        <w:tc>
          <w:tcPr>
            <w:tcW w:w="9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0,83</w:t>
            </w:r>
          </w:p>
        </w:tc>
        <w:tc>
          <w:tcPr>
            <w:tcW w:w="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0,82</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0,81</w:t>
            </w:r>
          </w:p>
        </w:tc>
        <w:tc>
          <w:tcPr>
            <w:tcW w:w="8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w:t>
            </w:r>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По данным Управления Федеральной службы государственной статистики по Северо-Кавказскому федеральному округу в 2025 г. жилищный фонд в планируемом муниципальном образовании составлял 593,3 тыс. м</w:t>
      </w:r>
      <w:r>
        <w:rPr>
          <w:rFonts w:cs="Times New Roman" w:ascii="Times New Roman" w:hAnsi="Times New Roman"/>
          <w:sz w:val="24"/>
          <w:szCs w:val="28"/>
          <w:vertAlign w:val="superscript"/>
        </w:rPr>
        <w:t>2</w:t>
      </w:r>
      <w:r>
        <w:rPr>
          <w:rFonts w:cs="Times New Roman" w:ascii="Times New Roman" w:hAnsi="Times New Roman"/>
          <w:sz w:val="24"/>
          <w:szCs w:val="28"/>
        </w:rPr>
        <w:t xml:space="preserve"> с показателем жилищной обеспеченности 26,5 м</w:t>
      </w:r>
      <w:r>
        <w:rPr>
          <w:rFonts w:cs="Times New Roman" w:ascii="Times New Roman" w:hAnsi="Times New Roman"/>
          <w:sz w:val="24"/>
          <w:szCs w:val="28"/>
          <w:vertAlign w:val="superscript"/>
        </w:rPr>
        <w:t>2</w:t>
      </w:r>
      <w:r>
        <w:rPr>
          <w:rFonts w:cs="Times New Roman" w:ascii="Times New Roman" w:hAnsi="Times New Roman"/>
          <w:sz w:val="24"/>
          <w:szCs w:val="28"/>
        </w:rPr>
        <w:t xml:space="preserve"> на 1 человека (2025 г.), этот показатель немного выше регионального – 24,7 м</w:t>
      </w:r>
      <w:r>
        <w:rPr>
          <w:rFonts w:cs="Times New Roman" w:ascii="Times New Roman" w:hAnsi="Times New Roman"/>
          <w:sz w:val="24"/>
          <w:szCs w:val="28"/>
          <w:vertAlign w:val="superscript"/>
        </w:rPr>
        <w:t>2</w:t>
      </w:r>
      <w:r>
        <w:rPr>
          <w:rFonts w:cs="Times New Roman" w:ascii="Times New Roman" w:hAnsi="Times New Roman"/>
          <w:sz w:val="24"/>
          <w:szCs w:val="28"/>
        </w:rPr>
        <w:t xml:space="preserve"> на 1 человека. При этом, жилищная обеспеченность существенно не различается по населённым пунктам муниципального округа. Данные таблицы показывают также, что динамика обеспеченности населения жильем в Туркменском муниципальном округе в последние года является положительной, что связано с увеличением объемов жилищного строительства при сокращающейся численности населения.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3.4. Прогнозируемый спрос на коммунальные ресурсы.</w:t>
      </w:r>
    </w:p>
    <w:p>
      <w:pPr>
        <w:pStyle w:val="NormalWeb"/>
        <w:shd w:val="clear" w:color="auto" w:fill="FFFFFF"/>
        <w:spacing w:before="0" w:after="0"/>
        <w:ind w:firstLine="567"/>
        <w:jc w:val="both"/>
        <w:rPr>
          <w:spacing w:val="3"/>
        </w:rPr>
      </w:pPr>
      <w:bookmarkStart w:id="21" w:name="_bookmark1"/>
      <w:bookmarkEnd w:id="21"/>
      <w:r>
        <w:rPr>
          <w:rStyle w:val="markdown-word"/>
          <w:spacing w:val="3"/>
        </w:rPr>
        <w:t>Перечень мероприятий определён на основании следующих документов:</w:t>
      </w:r>
    </w:p>
    <w:p>
      <w:pPr>
        <w:pStyle w:val="NormalWeb"/>
        <w:shd w:val="clear" w:color="auto" w:fill="FFFFFF"/>
        <w:spacing w:before="0" w:after="0"/>
        <w:ind w:firstLine="567"/>
        <w:jc w:val="both"/>
        <w:rPr>
          <w:spacing w:val="3"/>
        </w:rPr>
      </w:pPr>
      <w:r>
        <w:rPr>
          <w:rStyle w:val="markdown-word"/>
          <w:spacing w:val="3"/>
        </w:rPr>
        <w:t>- Генеральный план Туркменского муниципального округа Ставропольского края утверждён решением Совета Туркменского муниципального округа Ставропольского края.</w:t>
      </w:r>
    </w:p>
    <w:p>
      <w:pPr>
        <w:pStyle w:val="NormalWeb"/>
        <w:shd w:val="clear" w:color="auto" w:fill="FFFFFF"/>
        <w:spacing w:before="0" w:after="0"/>
        <w:ind w:firstLine="567"/>
        <w:jc w:val="both"/>
        <w:rPr>
          <w:spacing w:val="3"/>
        </w:rPr>
      </w:pPr>
      <w:r>
        <w:rPr>
          <w:rStyle w:val="markdown-word"/>
          <w:spacing w:val="3"/>
        </w:rPr>
        <w:t>- Схема водоснабжения и водоотведения Туркменского муниципального округа Ставропольского края на период с 2025 по 2041 год утверждена постановлением администрации Туркменского муниципального округа Ставропольского края от 31 июля 2025 года № 621.</w:t>
      </w:r>
    </w:p>
    <w:p>
      <w:pPr>
        <w:pStyle w:val="NormalWeb"/>
        <w:shd w:val="clear" w:color="auto" w:fill="FFFFFF"/>
        <w:spacing w:before="0" w:after="0"/>
        <w:ind w:firstLine="567"/>
        <w:jc w:val="both"/>
        <w:rPr>
          <w:spacing w:val="3"/>
        </w:rPr>
      </w:pPr>
      <w:r>
        <w:rPr>
          <w:rStyle w:val="markdown-word"/>
          <w:spacing w:val="3"/>
        </w:rPr>
        <w:t>- Схема теплоснабжения Туркменского муниципального округа на период с 2025 по 2041 год утверждена постановлением администрации Туркменского муниципального округа Ставропольского края от 1 августа 2025 года № 626.</w:t>
      </w:r>
    </w:p>
    <w:p>
      <w:pPr>
        <w:pStyle w:val="NormalWeb"/>
        <w:shd w:val="clear" w:color="auto" w:fill="FFFFFF"/>
        <w:spacing w:before="0" w:after="0"/>
        <w:ind w:firstLine="567"/>
        <w:jc w:val="both"/>
        <w:rPr>
          <w:spacing w:val="3"/>
        </w:rPr>
      </w:pPr>
      <w:r>
        <w:rPr>
          <w:rStyle w:val="markdown-word"/>
          <w:spacing w:val="3"/>
        </w:rPr>
        <w:t>- Стратегия социально-экономического развития Ставропольского края до 2030 года и на период до 2036 года утверждена Законом Ставропольского края от 25 декабря 2025 года № 126-кз. Документ принят Думой Ставропольского края 18 декабря 2025 года.</w:t>
      </w:r>
    </w:p>
    <w:p>
      <w:pPr>
        <w:pStyle w:val="NormalWeb"/>
        <w:shd w:val="clear" w:color="auto" w:fill="FFFFFF"/>
        <w:spacing w:before="0" w:after="0"/>
        <w:ind w:firstLine="567"/>
        <w:jc w:val="both"/>
        <w:rPr>
          <w:spacing w:val="3"/>
        </w:rPr>
      </w:pPr>
      <w:r>
        <w:rPr>
          <w:rStyle w:val="markdown-word"/>
          <w:spacing w:val="3"/>
        </w:rPr>
        <w:t>- Свод правил по проектированию и строительству:</w:t>
      </w:r>
    </w:p>
    <w:p>
      <w:pPr>
        <w:pStyle w:val="NormalWeb"/>
        <w:shd w:val="clear" w:color="auto" w:fill="FFFFFF"/>
        <w:spacing w:before="0" w:after="0"/>
        <w:ind w:firstLine="567"/>
        <w:jc w:val="both"/>
        <w:rPr>
          <w:spacing w:val="3"/>
        </w:rPr>
      </w:pPr>
      <w:r>
        <w:rPr>
          <w:rStyle w:val="markdown-word"/>
          <w:spacing w:val="3"/>
        </w:rPr>
        <w:t>- СП 42.13330.2016 «Градостроительство. Планировка и застройка городских и сельских поселений»;</w:t>
      </w:r>
    </w:p>
    <w:p>
      <w:pPr>
        <w:pStyle w:val="NormalWeb"/>
        <w:shd w:val="clear" w:color="auto" w:fill="FFFFFF"/>
        <w:spacing w:before="0" w:after="0"/>
        <w:ind w:firstLine="567"/>
        <w:jc w:val="both"/>
        <w:rPr>
          <w:spacing w:val="3"/>
        </w:rPr>
      </w:pPr>
      <w:r>
        <w:rPr>
          <w:rStyle w:val="markdown-word"/>
          <w:spacing w:val="3"/>
        </w:rPr>
        <w:t>- СП 42-101-2003 «Газораспределительные системы»;</w:t>
      </w:r>
    </w:p>
    <w:p>
      <w:pPr>
        <w:pStyle w:val="NormalWeb"/>
        <w:shd w:val="clear" w:color="auto" w:fill="FFFFFF"/>
        <w:spacing w:before="0" w:after="0"/>
        <w:ind w:firstLine="567"/>
        <w:jc w:val="both"/>
        <w:rPr>
          <w:spacing w:val="3"/>
        </w:rPr>
      </w:pPr>
      <w:r>
        <w:rPr>
          <w:rStyle w:val="markdown-word"/>
          <w:spacing w:val="3"/>
        </w:rPr>
        <w:t>- СП 124.13330.2012 «Тепловые сети»;</w:t>
      </w:r>
    </w:p>
    <w:p>
      <w:pPr>
        <w:pStyle w:val="NormalWeb"/>
        <w:shd w:val="clear" w:color="auto" w:fill="FFFFFF"/>
        <w:spacing w:before="0" w:after="0"/>
        <w:ind w:firstLine="567"/>
        <w:jc w:val="both"/>
        <w:rPr>
          <w:spacing w:val="3"/>
        </w:rPr>
      </w:pPr>
      <w:r>
        <w:rPr>
          <w:rStyle w:val="markdown-word"/>
          <w:spacing w:val="3"/>
        </w:rPr>
        <w:t xml:space="preserve">- СП31.13330.2021 «Водоснабжение». </w:t>
      </w:r>
    </w:p>
    <w:p>
      <w:pPr>
        <w:pStyle w:val="NormalWeb"/>
        <w:shd w:val="clear" w:color="auto" w:fill="FFFFFF"/>
        <w:spacing w:before="0" w:after="0"/>
        <w:ind w:firstLine="567"/>
        <w:jc w:val="both"/>
        <w:rPr>
          <w:spacing w:val="3"/>
        </w:rPr>
      </w:pPr>
      <w:r>
        <w:rPr>
          <w:rStyle w:val="markdown-word"/>
          <w:spacing w:val="3"/>
        </w:rPr>
        <w:t>Наружные сети и сооружения»;</w:t>
      </w:r>
    </w:p>
    <w:p>
      <w:pPr>
        <w:pStyle w:val="NormalWeb"/>
        <w:shd w:val="clear" w:color="auto" w:fill="FFFFFF"/>
        <w:spacing w:before="0" w:after="0"/>
        <w:ind w:firstLine="567"/>
        <w:jc w:val="both"/>
        <w:rPr>
          <w:spacing w:val="3"/>
        </w:rPr>
      </w:pPr>
      <w:r>
        <w:rPr>
          <w:rStyle w:val="markdown-word"/>
          <w:spacing w:val="3"/>
        </w:rPr>
        <w:t>- СП 32.13330.2018 «Канализация. Наружные сети и сооружения».</w:t>
      </w:r>
    </w:p>
    <w:p>
      <w:pPr>
        <w:pStyle w:val="NormalWeb"/>
        <w:shd w:val="clear" w:color="auto" w:fill="FFFFFF"/>
        <w:spacing w:before="0" w:after="0"/>
        <w:ind w:firstLine="567"/>
        <w:jc w:val="both"/>
        <w:rPr>
          <w:spacing w:val="3"/>
        </w:rPr>
      </w:pPr>
      <w:r>
        <w:rPr>
          <w:rStyle w:val="markdown-word"/>
          <w:spacing w:val="3"/>
        </w:rPr>
        <w:t>Нормативно-правовая база:</w:t>
      </w:r>
    </w:p>
    <w:p>
      <w:pPr>
        <w:pStyle w:val="NormalWeb"/>
        <w:shd w:val="clear" w:color="auto" w:fill="FFFFFF"/>
        <w:spacing w:before="0" w:after="0"/>
        <w:ind w:firstLine="567"/>
        <w:jc w:val="both"/>
        <w:rPr>
          <w:spacing w:val="3"/>
        </w:rPr>
      </w:pPr>
      <w:r>
        <w:rPr>
          <w:rStyle w:val="markdown-word"/>
          <w:spacing w:val="3"/>
        </w:rPr>
        <w:t>- Градостроительный кодекс РФ;</w:t>
      </w:r>
    </w:p>
    <w:p>
      <w:pPr>
        <w:pStyle w:val="NormalWeb"/>
        <w:shd w:val="clear" w:color="auto" w:fill="FFFFFF"/>
        <w:spacing w:before="0" w:after="0"/>
        <w:ind w:firstLine="567"/>
        <w:jc w:val="both"/>
        <w:rPr>
          <w:spacing w:val="3"/>
        </w:rPr>
      </w:pPr>
      <w:r>
        <w:rPr>
          <w:rStyle w:val="markdown-word"/>
          <w:spacing w:val="3"/>
        </w:rPr>
        <w:t>- Федеральный закон №131-ФЗ «Об общих принципах организации местного самоуправления»;</w:t>
      </w:r>
    </w:p>
    <w:p>
      <w:pPr>
        <w:pStyle w:val="NormalWeb"/>
        <w:shd w:val="clear" w:color="auto" w:fill="FFFFFF"/>
        <w:spacing w:before="0" w:after="0"/>
        <w:ind w:firstLine="567"/>
        <w:jc w:val="both"/>
        <w:rPr>
          <w:spacing w:val="3"/>
        </w:rPr>
      </w:pPr>
      <w:r>
        <w:rPr>
          <w:rStyle w:val="markdown-word"/>
          <w:spacing w:val="3"/>
        </w:rPr>
        <w:t>- Постановление Правительства РФ № 502 «Об утверждении требований к программам комплексного развития систем коммунальной инфраструктуры».</w:t>
      </w:r>
    </w:p>
    <w:p>
      <w:pPr>
        <w:sectPr>
          <w:footerReference w:type="even" r:id="rId14"/>
          <w:footerReference w:type="default" r:id="rId15"/>
          <w:footerReference w:type="first" r:id="rId16"/>
          <w:type w:val="nextPage"/>
          <w:pgSz w:w="11906" w:h="16838"/>
          <w:pgMar w:left="1276" w:right="991" w:gutter="0" w:header="0" w:top="709" w:footer="708" w:bottom="1134"/>
          <w:pgNumType w:fmt="decimal"/>
          <w:formProt w:val="false"/>
          <w:textDirection w:val="lrTb"/>
          <w:docGrid w:type="default" w:linePitch="360" w:charSpace="24576"/>
        </w:sectPr>
        <w:pStyle w:val="NormalWeb"/>
        <w:shd w:val="clear" w:color="auto" w:fill="FFFFFF"/>
        <w:spacing w:before="0" w:after="0"/>
        <w:ind w:firstLine="567"/>
        <w:jc w:val="both"/>
        <w:rPr>
          <w:spacing w:val="3"/>
        </w:rPr>
      </w:pPr>
      <w:r>
        <w:rPr>
          <w:rStyle w:val="markdown-word"/>
          <w:spacing w:val="3"/>
        </w:rPr>
        <w:t>Документы территориального планирования Ставропольского края.</w:t>
      </w:r>
    </w:p>
    <w:p>
      <w:pPr>
        <w:pStyle w:val="Normal"/>
        <w:spacing w:lineRule="auto" w:line="240" w:before="0" w:after="0"/>
        <w:jc w:val="right"/>
        <w:rPr>
          <w:rFonts w:ascii="Times New Roman" w:hAnsi="Times New Roman" w:cs="Times New Roman"/>
          <w:sz w:val="24"/>
          <w:szCs w:val="28"/>
        </w:rPr>
      </w:pPr>
      <w:r>
        <w:rPr>
          <w:rStyle w:val="markdown-word"/>
          <w:rFonts w:cs="Times New Roman" w:ascii="Times New Roman" w:hAnsi="Times New Roman"/>
          <w:spacing w:val="3"/>
          <w:sz w:val="24"/>
          <w:szCs w:val="28"/>
        </w:rPr>
        <w:t>Таблица 16.</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Значения спроса на тепловую мощность в расчетных элементах территориального деления (перспективное положение до 2034 г.)</w:t>
      </w:r>
    </w:p>
    <w:tbl>
      <w:tblPr>
        <w:tblW w:w="14360" w:type="dxa"/>
        <w:jc w:val="left"/>
        <w:tblInd w:w="461" w:type="dxa"/>
        <w:tblLayout w:type="fixed"/>
        <w:tblCellMar>
          <w:top w:w="0" w:type="dxa"/>
          <w:left w:w="5" w:type="dxa"/>
          <w:bottom w:w="0" w:type="dxa"/>
          <w:right w:w="5" w:type="dxa"/>
        </w:tblCellMar>
        <w:tblLook w:val="04a0"/>
      </w:tblPr>
      <w:tblGrid>
        <w:gridCol w:w="587"/>
        <w:gridCol w:w="2247"/>
        <w:gridCol w:w="6663"/>
        <w:gridCol w:w="2153"/>
        <w:gridCol w:w="2710"/>
      </w:tblGrid>
      <w:tr>
        <w:trPr>
          <w:trHeight w:val="53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п/п</w:t>
            </w:r>
          </w:p>
        </w:tc>
        <w:tc>
          <w:tcPr>
            <w:tcW w:w="22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ТСО</w:t>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и адрес котельной</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Спрос на тепловую мощность, Гкал/час</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Полезный отпуск, Гкал/год</w:t>
            </w:r>
          </w:p>
        </w:tc>
      </w:tr>
      <w:tr>
        <w:trPr>
          <w:trHeight w:val="175"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22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r>
      <w:tr>
        <w:trPr>
          <w:trHeight w:val="29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224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ООО «Коммунальное хозяйство» Туркменского муниципального района Ставропольского края</w:t>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2" w:name="Центральная_котельная_с._Летняя_Ставка,_"/>
            <w:bookmarkEnd w:id="22"/>
            <w:r>
              <w:rPr>
                <w:rFonts w:cs="Times New Roman" w:ascii="Times New Roman" w:hAnsi="Times New Roman"/>
                <w:sz w:val="20"/>
                <w:szCs w:val="20"/>
              </w:rPr>
              <w:t>Центральная котельная с. Летняя Ставка, ул. Советская, б/н</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0,7737</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3398,288</w:t>
            </w:r>
          </w:p>
        </w:tc>
      </w:tr>
      <w:tr>
        <w:trPr>
          <w:trHeight w:val="17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3" w:name="Котельная_п._Красный_Маныч,_пер._Казачий"/>
            <w:bookmarkEnd w:id="23"/>
            <w:r>
              <w:rPr>
                <w:rFonts w:cs="Times New Roman" w:ascii="Times New Roman" w:hAnsi="Times New Roman"/>
                <w:sz w:val="20"/>
                <w:szCs w:val="20"/>
              </w:rPr>
              <w:t>Котельная п. Красный Маныч, пер. Казачий, 9</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0,2031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892,004</w:t>
            </w:r>
          </w:p>
        </w:tc>
      </w:tr>
      <w:tr>
        <w:trPr>
          <w:trHeight w:val="266"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4" w:name="Котельная_п._Ясный,_ул._Школьная,_1"/>
            <w:bookmarkEnd w:id="24"/>
            <w:r>
              <w:rPr>
                <w:rFonts w:cs="Times New Roman" w:ascii="Times New Roman" w:hAnsi="Times New Roman"/>
                <w:sz w:val="20"/>
                <w:szCs w:val="20"/>
              </w:rPr>
              <w:t>Котельная п. Ясный, ул. Школьная, 1</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0,1083</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475,64</w:t>
            </w:r>
          </w:p>
        </w:tc>
      </w:tr>
      <w:tr>
        <w:trPr>
          <w:trHeight w:val="309"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5" w:name="Котельная_с._Кендже-Кулак_(МКДОУ_№14)_ул"/>
            <w:bookmarkEnd w:id="25"/>
            <w:r>
              <w:rPr>
                <w:rFonts w:cs="Times New Roman" w:ascii="Times New Roman" w:hAnsi="Times New Roman"/>
                <w:sz w:val="20"/>
                <w:szCs w:val="20"/>
              </w:rPr>
              <w:t>Котельная с. Кендже-Кулак (МКДОУ №14) ул. Школьная, 4</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0,0473</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207,7</w:t>
            </w:r>
          </w:p>
        </w:tc>
      </w:tr>
      <w:tr>
        <w:trPr>
          <w:trHeight w:val="191"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6" w:name="Котельная_с._Кендже-Кулак_(МКОУ_СОШ_№11)"/>
            <w:bookmarkEnd w:id="26"/>
            <w:r>
              <w:rPr>
                <w:rFonts w:cs="Times New Roman" w:ascii="Times New Roman" w:hAnsi="Times New Roman"/>
                <w:sz w:val="20"/>
                <w:szCs w:val="20"/>
              </w:rPr>
              <w:t>Котельная с. Кендже-Кулак (МКОУ СОШ №11), ул. Садовая, 17</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0,1205</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529,2</w:t>
            </w:r>
          </w:p>
        </w:tc>
      </w:tr>
      <w:tr>
        <w:trPr>
          <w:trHeight w:val="40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7" w:name="Источник_теплоснабжения_МКДОУ№1_Теремок_"/>
            <w:bookmarkEnd w:id="27"/>
            <w:r>
              <w:rPr>
                <w:rFonts w:cs="Times New Roman" w:ascii="Times New Roman" w:hAnsi="Times New Roman"/>
                <w:sz w:val="20"/>
                <w:szCs w:val="20"/>
              </w:rPr>
              <w:t>Источник теплоснабжения МКДОУ№1 Теремок с. Летняя Ставка,</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Лермонтова, 1</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0,0497</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218,5</w:t>
            </w:r>
          </w:p>
        </w:tc>
      </w:tr>
      <w:tr>
        <w:trPr>
          <w:trHeight w:val="463"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8" w:name="Источник_теплоснабжения_МКДОУ_№15_п._Кра"/>
            <w:bookmarkEnd w:id="28"/>
            <w:r>
              <w:rPr>
                <w:rFonts w:cs="Times New Roman" w:ascii="Times New Roman" w:hAnsi="Times New Roman"/>
                <w:sz w:val="20"/>
                <w:szCs w:val="20"/>
              </w:rPr>
              <w:t>Источник теплоснабжения МКДОУ №15 п. Красный Маныч,</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Школьная, 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0,0278</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122,1</w:t>
            </w:r>
          </w:p>
        </w:tc>
      </w:tr>
      <w:tr>
        <w:trPr>
          <w:trHeight w:val="469"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29" w:name="Источник_теплоснабжения_МКОУ_СОШ_№2_сред"/>
            <w:bookmarkEnd w:id="29"/>
            <w:r>
              <w:rPr>
                <w:rFonts w:cs="Times New Roman" w:ascii="Times New Roman" w:hAnsi="Times New Roman"/>
                <w:sz w:val="20"/>
                <w:szCs w:val="20"/>
              </w:rPr>
              <w:t>Источник теплоснабжения МКОУ СОШ №2 средняя школа с. Овощи,</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Красная, 73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0,0869</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381,8</w:t>
            </w:r>
          </w:p>
        </w:tc>
      </w:tr>
      <w:tr>
        <w:trPr>
          <w:trHeight w:val="51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0" w:name="Источник_теплоснабжения_МКОУ_СОШ_№2_нача"/>
            <w:bookmarkEnd w:id="30"/>
            <w:r>
              <w:rPr>
                <w:rFonts w:cs="Times New Roman" w:ascii="Times New Roman" w:hAnsi="Times New Roman"/>
                <w:sz w:val="20"/>
                <w:szCs w:val="20"/>
              </w:rPr>
              <w:t>Источник теплоснабжения МКОУ СОШ №2 начальная школа с. Овощи</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Красная, 73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0,0111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48,7</w:t>
            </w:r>
          </w:p>
        </w:tc>
      </w:tr>
      <w:tr>
        <w:trPr>
          <w:trHeight w:val="59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1" w:name="Источник_теплоснабжения_МКОУ_СОШ_№2_маст"/>
            <w:bookmarkEnd w:id="31"/>
            <w:r>
              <w:rPr>
                <w:rFonts w:cs="Times New Roman" w:ascii="Times New Roman" w:hAnsi="Times New Roman"/>
                <w:sz w:val="20"/>
                <w:szCs w:val="20"/>
              </w:rPr>
              <w:t>Источник теплоснабжения МКОУ СОШ №2 мастерские с. Овощи,</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Красная, 73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0,0159</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31,7</w:t>
            </w:r>
          </w:p>
        </w:tc>
      </w:tr>
      <w:tr>
        <w:trPr>
          <w:trHeight w:val="265"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2" w:name="Источник_теплоснабжения_МКДОУ_№3_с._Овощ"/>
            <w:bookmarkEnd w:id="32"/>
            <w:r>
              <w:rPr>
                <w:rFonts w:cs="Times New Roman" w:ascii="Times New Roman" w:hAnsi="Times New Roman"/>
                <w:sz w:val="20"/>
                <w:szCs w:val="20"/>
              </w:rPr>
              <w:t>Источник теплоснабжения МКДОУ №3 с. Овощи, ул. Пролетарская, 60</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0,0461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202,4</w:t>
            </w:r>
          </w:p>
        </w:tc>
      </w:tr>
      <w:tr>
        <w:trPr>
          <w:trHeight w:val="269"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3" w:name="Источник_теплоснабжения_МБОУ_СОШ_№3_с._К"/>
            <w:bookmarkEnd w:id="33"/>
            <w:r>
              <w:rPr>
                <w:rFonts w:cs="Times New Roman" w:ascii="Times New Roman" w:hAnsi="Times New Roman"/>
                <w:sz w:val="20"/>
                <w:szCs w:val="20"/>
              </w:rPr>
              <w:t>Источник теплоснабжения МБОУ СОШ №3 с. Камбулат, пл. Свободы, 53</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0,1302</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572,00</w:t>
            </w:r>
          </w:p>
        </w:tc>
      </w:tr>
      <w:tr>
        <w:trPr>
          <w:trHeight w:val="273"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4" w:name="Источник_теплоснабжения_ЦКиД_с._Камбулат"/>
            <w:bookmarkEnd w:id="34"/>
            <w:r>
              <w:rPr>
                <w:rFonts w:cs="Times New Roman" w:ascii="Times New Roman" w:hAnsi="Times New Roman"/>
                <w:sz w:val="20"/>
                <w:szCs w:val="20"/>
              </w:rPr>
              <w:t>Источник теплоснабжения ЦКиД с. Камбулат, пл. Свободы, 55</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0,1089</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478,4</w:t>
            </w:r>
          </w:p>
        </w:tc>
      </w:tr>
      <w:tr>
        <w:trPr>
          <w:trHeight w:val="419"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Источник теплоснабжения участковая больница + хоз. блок с. Камбулат</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пл. Свободы, 29</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0,0449</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197,400</w:t>
            </w:r>
          </w:p>
        </w:tc>
      </w:tr>
      <w:tr>
        <w:trPr>
          <w:trHeight w:val="269"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5" w:name="Источник_теплоснабжения_администрации_с."/>
            <w:bookmarkEnd w:id="35"/>
            <w:r>
              <w:rPr>
                <w:rFonts w:cs="Times New Roman" w:ascii="Times New Roman" w:hAnsi="Times New Roman"/>
                <w:sz w:val="20"/>
                <w:szCs w:val="20"/>
              </w:rPr>
              <w:t>Источник теплоснабжения администрации с. Камбулат, пл. Свободы, 1</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0,0094</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41,4</w:t>
            </w:r>
          </w:p>
        </w:tc>
      </w:tr>
      <w:tr>
        <w:trPr>
          <w:trHeight w:val="131"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6" w:name="Источник_теплоснабжения_МКДОУ_№4_с._Камб"/>
            <w:bookmarkEnd w:id="36"/>
            <w:r>
              <w:rPr>
                <w:rFonts w:cs="Times New Roman" w:ascii="Times New Roman" w:hAnsi="Times New Roman"/>
                <w:sz w:val="20"/>
                <w:szCs w:val="20"/>
              </w:rPr>
              <w:t>Источник теплоснабжения МКДОУ №4 с. Камбулат, пл. Свободы, 25</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0,0334</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146,9</w:t>
            </w:r>
          </w:p>
        </w:tc>
      </w:tr>
      <w:tr>
        <w:trPr>
          <w:trHeight w:val="264"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7" w:name="Источник_теплоснабжения_участковая_больн"/>
            <w:bookmarkEnd w:id="37"/>
            <w:r>
              <w:rPr>
                <w:rFonts w:cs="Times New Roman" w:ascii="Times New Roman" w:hAnsi="Times New Roman"/>
                <w:sz w:val="20"/>
                <w:szCs w:val="20"/>
              </w:rPr>
              <w:t>Источник теплоснабжения участковая больница с. Кучерла, ул. Садовая</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18</w:t>
            </w:r>
          </w:p>
        </w:tc>
        <w:tc>
          <w:tcPr>
            <w:tcW w:w="215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0,0179</w:t>
            </w:r>
          </w:p>
        </w:tc>
        <w:tc>
          <w:tcPr>
            <w:tcW w:w="271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78,4</w:t>
            </w:r>
          </w:p>
        </w:tc>
      </w:tr>
      <w:tr>
        <w:trPr>
          <w:trHeight w:val="230" w:hRule="atLeast"/>
        </w:trPr>
        <w:tc>
          <w:tcPr>
            <w:tcW w:w="587" w:type="dxa"/>
            <w:vMerge w:val="restart"/>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15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71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269" w:hRule="atLeast"/>
        </w:trPr>
        <w:tc>
          <w:tcPr>
            <w:tcW w:w="58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8" w:name="Источник_теплоснабжения_МКОУ_СОШ_№9_с._К"/>
            <w:bookmarkEnd w:id="38"/>
            <w:r>
              <w:rPr>
                <w:rFonts w:cs="Times New Roman" w:ascii="Times New Roman" w:hAnsi="Times New Roman"/>
                <w:sz w:val="20"/>
                <w:szCs w:val="20"/>
              </w:rPr>
              <w:t>Источник теплоснабжения МКОУ СОШ №9 с. Кучерла, ул. Стадионная</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25</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0,0860</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377,6</w:t>
            </w:r>
          </w:p>
        </w:tc>
      </w:tr>
      <w:tr>
        <w:trPr>
          <w:trHeight w:val="233"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39" w:name="Источник_теплоснабжения_ЦКиД_с._Кучерла,"/>
            <w:bookmarkEnd w:id="39"/>
            <w:r>
              <w:rPr>
                <w:rFonts w:cs="Times New Roman" w:ascii="Times New Roman" w:hAnsi="Times New Roman"/>
                <w:sz w:val="20"/>
                <w:szCs w:val="20"/>
              </w:rPr>
              <w:t>Источник теплоснабжения ЦКиД с. Кучерла, ул. Стадионная, 17</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0,0136</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59,7</w:t>
            </w:r>
          </w:p>
        </w:tc>
      </w:tr>
      <w:tr>
        <w:trPr>
          <w:trHeight w:val="17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0" w:name="Источник_теплоснабжения_МКДОУ_№12_с._Куч"/>
            <w:bookmarkEnd w:id="40"/>
            <w:r>
              <w:rPr>
                <w:rFonts w:cs="Times New Roman" w:ascii="Times New Roman" w:hAnsi="Times New Roman"/>
                <w:sz w:val="20"/>
                <w:szCs w:val="20"/>
              </w:rPr>
              <w:t>Источник теплоснабжения МКДОУ №12 с. Кучерла, ул. Стадионная, 27</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0,0452</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198,4</w:t>
            </w:r>
          </w:p>
        </w:tc>
      </w:tr>
      <w:tr>
        <w:trPr>
          <w:trHeight w:val="251"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1" w:name="Источник_теплоснабжения_ЦКиД_а._Шарахалс"/>
            <w:bookmarkEnd w:id="41"/>
            <w:r>
              <w:rPr>
                <w:rFonts w:cs="Times New Roman" w:ascii="Times New Roman" w:hAnsi="Times New Roman"/>
                <w:sz w:val="20"/>
                <w:szCs w:val="20"/>
              </w:rPr>
              <w:t>Источник теплоснабжения ЦКиД а. Шарахалсун, ул. Молодежная, 83 в</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0,0255</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112,1</w:t>
            </w:r>
          </w:p>
        </w:tc>
      </w:tr>
      <w:tr>
        <w:trPr>
          <w:trHeight w:val="473"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2" w:name="Источник_теплоснабжения_МКОУ_СОШ_№8_а._К"/>
            <w:bookmarkEnd w:id="42"/>
            <w:r>
              <w:rPr>
                <w:rFonts w:cs="Times New Roman" w:ascii="Times New Roman" w:hAnsi="Times New Roman"/>
                <w:sz w:val="20"/>
                <w:szCs w:val="20"/>
              </w:rPr>
              <w:t>Источник теплоснабжения МКОУ СОШ №8 а. Куликовы-Копани,</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Школьная, 10</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0,0632</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277,7</w:t>
            </w:r>
          </w:p>
        </w:tc>
      </w:tr>
      <w:tr>
        <w:trPr>
          <w:trHeight w:val="44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3" w:name="Источник_теплоснабжения_МКДОУ_№11_а._Кул"/>
            <w:bookmarkEnd w:id="43"/>
            <w:r>
              <w:rPr>
                <w:rFonts w:cs="Times New Roman" w:ascii="Times New Roman" w:hAnsi="Times New Roman"/>
                <w:sz w:val="20"/>
                <w:szCs w:val="20"/>
              </w:rPr>
              <w:t>Источник теплоснабжения МКДОУ №11 а. Куликовы-Копани,</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Чапаева, 4а</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0,0241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105,9</w:t>
            </w:r>
          </w:p>
        </w:tc>
      </w:tr>
      <w:tr>
        <w:trPr>
          <w:trHeight w:val="274"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4" w:name="Источник_теплоснабжения_ЦКиД_а._Куликовы"/>
            <w:bookmarkEnd w:id="44"/>
            <w:r>
              <w:rPr>
                <w:rFonts w:cs="Times New Roman" w:ascii="Times New Roman" w:hAnsi="Times New Roman"/>
                <w:sz w:val="20"/>
                <w:szCs w:val="20"/>
              </w:rPr>
              <w:t>Источник теплоснабжения ЦКиД а. Куликовы-Копани, ул. Горького,14</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0,0281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123,5</w:t>
            </w:r>
          </w:p>
        </w:tc>
      </w:tr>
      <w:tr>
        <w:trPr>
          <w:trHeight w:val="132"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5" w:name="Источник_теплоснабжения_МКОУ_СОШ_№5_с._К"/>
            <w:bookmarkEnd w:id="45"/>
            <w:r>
              <w:rPr>
                <w:rFonts w:cs="Times New Roman" w:ascii="Times New Roman" w:hAnsi="Times New Roman"/>
                <w:sz w:val="20"/>
                <w:szCs w:val="20"/>
              </w:rPr>
              <w:t>Источник теплоснабжения МКОУ СОШ №5 с. Казгулак, ул. Ленина, 88</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0,0848</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372,6</w:t>
            </w:r>
          </w:p>
        </w:tc>
      </w:tr>
      <w:tr>
        <w:trPr>
          <w:trHeight w:val="206"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26.</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6" w:name="Источник_теплоснабжения_ЦКиД_с._Казгулак"/>
            <w:bookmarkEnd w:id="46"/>
            <w:r>
              <w:rPr>
                <w:rFonts w:cs="Times New Roman" w:ascii="Times New Roman" w:hAnsi="Times New Roman"/>
                <w:sz w:val="20"/>
                <w:szCs w:val="20"/>
              </w:rPr>
              <w:t>Источник теплоснабжения ЦКиД с. Казгулак, ул. Ленина, 117</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0,0734</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322,3</w:t>
            </w:r>
          </w:p>
        </w:tc>
      </w:tr>
      <w:tr>
        <w:trPr>
          <w:trHeight w:val="46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7" w:name="Источник_теплоснабжения_музыкальной_школ"/>
            <w:bookmarkEnd w:id="47"/>
            <w:r>
              <w:rPr>
                <w:rFonts w:cs="Times New Roman" w:ascii="Times New Roman" w:hAnsi="Times New Roman"/>
                <w:sz w:val="20"/>
                <w:szCs w:val="20"/>
              </w:rPr>
              <w:t>Источник теплоснабжения музыкальной школы с. Казгулак,</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пер. Пионерский, 22</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0,0049</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21,6</w:t>
            </w:r>
          </w:p>
        </w:tc>
      </w:tr>
      <w:tr>
        <w:trPr>
          <w:trHeight w:val="357"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8" w:name="Источник_теплоснабжения_МБОУ_СОШ_№4_с._М"/>
            <w:bookmarkEnd w:id="48"/>
            <w:r>
              <w:rPr>
                <w:rFonts w:cs="Times New Roman" w:ascii="Times New Roman" w:hAnsi="Times New Roman"/>
                <w:sz w:val="20"/>
                <w:szCs w:val="20"/>
              </w:rPr>
              <w:t>Источник теплоснабжения МБОУ СОШ №4 с. Малые Ягуры,</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Пионерская, 18</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0,1541</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676,6</w:t>
            </w:r>
          </w:p>
        </w:tc>
      </w:tr>
      <w:tr>
        <w:trPr>
          <w:trHeight w:val="208"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49" w:name="Источник_теплоснабжения_ЦКиД_с._Малые_Яг"/>
            <w:bookmarkEnd w:id="49"/>
            <w:r>
              <w:rPr>
                <w:rFonts w:cs="Times New Roman" w:ascii="Times New Roman" w:hAnsi="Times New Roman"/>
                <w:sz w:val="20"/>
                <w:szCs w:val="20"/>
              </w:rPr>
              <w:t>Источник теплоснабжения ЦКиД с. Малые Ягуры, ул. Пионерская, 29</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0,0855</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375,7</w:t>
            </w:r>
          </w:p>
        </w:tc>
      </w:tr>
      <w:tr>
        <w:trPr>
          <w:trHeight w:val="266"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w:t>
            </w:r>
          </w:p>
        </w:tc>
        <w:tc>
          <w:tcPr>
            <w:tcW w:w="22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66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1"/>
              <w:jc w:val="both"/>
              <w:rPr>
                <w:rFonts w:ascii="Times New Roman" w:hAnsi="Times New Roman" w:cs="Times New Roman"/>
                <w:sz w:val="20"/>
                <w:szCs w:val="20"/>
              </w:rPr>
            </w:pPr>
            <w:bookmarkStart w:id="50" w:name="Источник_теплоснабжения_здания_гаражей_О"/>
            <w:bookmarkEnd w:id="50"/>
            <w:r>
              <w:rPr>
                <w:rFonts w:cs="Times New Roman" w:ascii="Times New Roman" w:hAnsi="Times New Roman"/>
                <w:sz w:val="20"/>
                <w:szCs w:val="20"/>
              </w:rPr>
              <w:t>Источник теплоснабжения здания гаражей ООО «КХ» с. Летняя Ставка</w:t>
            </w:r>
          </w:p>
          <w:p>
            <w:pPr>
              <w:pStyle w:val="Normal"/>
              <w:spacing w:lineRule="auto" w:line="240" w:before="0" w:after="0"/>
              <w:ind w:firstLine="291"/>
              <w:jc w:val="both"/>
              <w:rPr>
                <w:rFonts w:ascii="Times New Roman" w:hAnsi="Times New Roman" w:cs="Times New Roman"/>
                <w:sz w:val="20"/>
                <w:szCs w:val="20"/>
              </w:rPr>
            </w:pPr>
            <w:r>
              <w:rPr>
                <w:rFonts w:cs="Times New Roman" w:ascii="Times New Roman" w:hAnsi="Times New Roman"/>
                <w:sz w:val="20"/>
                <w:szCs w:val="20"/>
              </w:rPr>
              <w:t>ул. Аэродромная, 3А</w:t>
            </w:r>
          </w:p>
        </w:tc>
        <w:tc>
          <w:tcPr>
            <w:tcW w:w="21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0,0132</w:t>
            </w:r>
          </w:p>
        </w:tc>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57,9</w:t>
            </w:r>
          </w:p>
        </w:tc>
      </w:tr>
    </w:tbl>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sz w:val="24"/>
          <w:szCs w:val="28"/>
        </w:rPr>
        <w:t>Годовой расход тепловой энергии на отопление определяется по формуле:</w:t>
      </w:r>
    </w:p>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sz w:val="24"/>
          <w:szCs w:val="28"/>
        </w:rPr>
        <w:t>Qгод от = Zот х Qотр х ((Тв – Тсо)/(Тв – Тн)) х Ро, Гкал/год</w:t>
      </w:r>
    </w:p>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sz w:val="24"/>
          <w:szCs w:val="28"/>
        </w:rPr>
        <w:t>где: Qотр – максимальный часовой расход тепла на отопление, Гкал/ч; Ро – продолжительность отопительного периода, сутки;</w:t>
      </w:r>
    </w:p>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sz w:val="24"/>
          <w:szCs w:val="28"/>
        </w:rPr>
        <w:t>Zот – время работы в сутки, ч;</w:t>
      </w:r>
    </w:p>
    <w:p>
      <w:pPr>
        <w:pStyle w:val="Normal"/>
        <w:spacing w:lineRule="auto" w:line="240" w:before="0" w:after="0"/>
        <w:ind w:firstLine="851"/>
        <w:jc w:val="both"/>
        <w:rPr>
          <w:rFonts w:ascii="Times New Roman" w:hAnsi="Times New Roman" w:cs="Times New Roman"/>
          <w:sz w:val="24"/>
          <w:szCs w:val="28"/>
        </w:rPr>
      </w:pPr>
      <w:r>
        <w:rPr>
          <w:rFonts w:cs="Times New Roman" w:ascii="Times New Roman" w:hAnsi="Times New Roman"/>
          <w:sz w:val="24"/>
          <w:szCs w:val="28"/>
        </w:rPr>
        <w:t>Тсо – средняя температура наружного воздуха за отопительный период, °С;</w:t>
      </w:r>
    </w:p>
    <w:p>
      <w:pPr>
        <w:sectPr>
          <w:footerReference w:type="even" r:id="rId17"/>
          <w:footerReference w:type="default" r:id="rId18"/>
          <w:footerReference w:type="first" r:id="rId19"/>
          <w:type w:val="nextPage"/>
          <w:pgSz w:orient="landscape" w:w="16838" w:h="11906"/>
          <w:pgMar w:left="1134" w:right="1134" w:gutter="0" w:header="0" w:top="993" w:footer="708" w:bottom="850"/>
          <w:pgNumType w:fmt="decimal"/>
          <w:formProt w:val="false"/>
          <w:textDirection w:val="lrTb"/>
          <w:docGrid w:type="default" w:linePitch="360" w:charSpace="24576"/>
        </w:sectPr>
        <w:pStyle w:val="Normal"/>
        <w:spacing w:lineRule="auto" w:line="240" w:before="0" w:after="0"/>
        <w:ind w:firstLine="851"/>
        <w:rPr>
          <w:rFonts w:ascii="Times New Roman" w:hAnsi="Times New Roman" w:cs="Times New Roman"/>
          <w:sz w:val="24"/>
          <w:szCs w:val="28"/>
        </w:rPr>
      </w:pPr>
      <w:r>
        <w:rPr>
          <w:rFonts w:cs="Times New Roman" w:ascii="Times New Roman" w:hAnsi="Times New Roman"/>
          <w:sz w:val="24"/>
          <w:szCs w:val="28"/>
        </w:rPr>
        <w:t>Тн – расчетная температура наружного воздуха для проектирования отопления и вентиляции, °С Тв – расчетная температура внутреннего воздуха отапливаемых зданий, °С.</w:t>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17.</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Приоритетное направление развития топливного баланса поселения</w:t>
      </w:r>
    </w:p>
    <w:tbl>
      <w:tblPr>
        <w:tblW w:w="9854" w:type="dxa"/>
        <w:jc w:val="left"/>
        <w:tblInd w:w="-259" w:type="dxa"/>
        <w:tblLayout w:type="fixed"/>
        <w:tblCellMar>
          <w:top w:w="0" w:type="dxa"/>
          <w:left w:w="5" w:type="dxa"/>
          <w:bottom w:w="0" w:type="dxa"/>
          <w:right w:w="5" w:type="dxa"/>
        </w:tblCellMar>
        <w:tblLook w:val="04a0"/>
      </w:tblPr>
      <w:tblGrid>
        <w:gridCol w:w="1784"/>
        <w:gridCol w:w="1041"/>
        <w:gridCol w:w="967"/>
        <w:gridCol w:w="1123"/>
        <w:gridCol w:w="965"/>
        <w:gridCol w:w="1074"/>
        <w:gridCol w:w="966"/>
        <w:gridCol w:w="984"/>
        <w:gridCol w:w="949"/>
      </w:tblGrid>
      <w:tr>
        <w:trPr>
          <w:trHeight w:val="263" w:hRule="atLeast"/>
        </w:trPr>
        <w:tc>
          <w:tcPr>
            <w:tcW w:w="178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45" w:after="0"/>
              <w:jc w:val="center"/>
              <w:rPr>
                <w:rFonts w:ascii="Times New Roman" w:hAnsi="Times New Roman" w:cs="Times New Roman"/>
                <w:sz w:val="20"/>
                <w:szCs w:val="20"/>
              </w:rPr>
            </w:pPr>
            <w:r>
              <w:rPr>
                <w:rFonts w:cs="Times New Roman" w:ascii="Times New Roman" w:hAnsi="Times New Roman"/>
                <w:spacing w:val="-2"/>
                <w:sz w:val="20"/>
                <w:szCs w:val="20"/>
              </w:rPr>
              <w:t xml:space="preserve">Наименование </w:t>
            </w:r>
            <w:r>
              <w:rPr>
                <w:rFonts w:cs="Times New Roman" w:ascii="Times New Roman" w:hAnsi="Times New Roman"/>
                <w:sz w:val="20"/>
                <w:szCs w:val="20"/>
              </w:rPr>
              <w:t>вида топлива</w:t>
            </w:r>
          </w:p>
        </w:tc>
        <w:tc>
          <w:tcPr>
            <w:tcW w:w="8069"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628"/>
              <w:jc w:val="center"/>
              <w:rPr>
                <w:rFonts w:ascii="Times New Roman" w:hAnsi="Times New Roman" w:cs="Times New Roman"/>
                <w:sz w:val="20"/>
                <w:szCs w:val="20"/>
              </w:rPr>
            </w:pPr>
            <w:r>
              <w:rPr>
                <w:rFonts w:cs="Times New Roman" w:ascii="Times New Roman" w:hAnsi="Times New Roman"/>
                <w:sz w:val="20"/>
                <w:szCs w:val="20"/>
              </w:rPr>
              <w:t>Расход натурального топлива</w:t>
            </w:r>
          </w:p>
        </w:tc>
      </w:tr>
      <w:tr>
        <w:trPr>
          <w:trHeight w:val="298" w:hRule="atLeast"/>
        </w:trPr>
        <w:tc>
          <w:tcPr>
            <w:tcW w:w="178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0"/>
                <w:szCs w:val="20"/>
              </w:rPr>
            </w:pPr>
            <w:r>
              <w:rPr>
                <w:rFonts w:cs="Times New Roman" w:ascii="Times New Roman" w:hAnsi="Times New Roman"/>
                <w:sz w:val="20"/>
                <w:szCs w:val="20"/>
              </w:rPr>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2024</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2025</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2026</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2027</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jc w:val="center"/>
              <w:rPr>
                <w:rFonts w:ascii="Times New Roman" w:hAnsi="Times New Roman" w:cs="Times New Roman"/>
                <w:spacing w:val="-4"/>
                <w:sz w:val="20"/>
                <w:szCs w:val="20"/>
              </w:rPr>
            </w:pPr>
            <w:r>
              <w:rPr>
                <w:rFonts w:cs="Times New Roman" w:ascii="Times New Roman" w:hAnsi="Times New Roman"/>
                <w:spacing w:val="-4"/>
                <w:sz w:val="20"/>
                <w:szCs w:val="20"/>
              </w:rPr>
              <w:t>2028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2029-</w:t>
            </w:r>
          </w:p>
          <w:p>
            <w:pPr>
              <w:pStyle w:val="Normal"/>
              <w:spacing w:lineRule="auto" w:line="240" w:before="35" w:after="0"/>
              <w:jc w:val="center"/>
              <w:rPr>
                <w:rFonts w:ascii="Times New Roman" w:hAnsi="Times New Roman" w:cs="Times New Roman"/>
                <w:spacing w:val="-4"/>
                <w:sz w:val="20"/>
                <w:szCs w:val="20"/>
              </w:rPr>
            </w:pPr>
            <w:r>
              <w:rPr>
                <w:rFonts w:cs="Times New Roman" w:ascii="Times New Roman" w:hAnsi="Times New Roman"/>
                <w:spacing w:val="-4"/>
                <w:sz w:val="20"/>
                <w:szCs w:val="20"/>
              </w:rPr>
              <w:t>2033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2034-</w:t>
            </w:r>
          </w:p>
          <w:p>
            <w:pPr>
              <w:pStyle w:val="Normal"/>
              <w:spacing w:lineRule="auto" w:line="240" w:before="35" w:after="0"/>
              <w:jc w:val="center"/>
              <w:rPr>
                <w:rFonts w:ascii="Times New Roman" w:hAnsi="Times New Roman" w:cs="Times New Roman"/>
                <w:spacing w:val="-4"/>
                <w:sz w:val="20"/>
                <w:szCs w:val="20"/>
              </w:rPr>
            </w:pPr>
            <w:r>
              <w:rPr>
                <w:rFonts w:cs="Times New Roman" w:ascii="Times New Roman" w:hAnsi="Times New Roman"/>
                <w:spacing w:val="-4"/>
                <w:sz w:val="20"/>
                <w:szCs w:val="20"/>
              </w:rPr>
              <w:t>2041</w:t>
            </w:r>
          </w:p>
        </w:tc>
      </w:tr>
      <w:tr>
        <w:trPr>
          <w:trHeight w:val="26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8069"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7"/>
              <w:jc w:val="center"/>
              <w:rPr>
                <w:rFonts w:ascii="Times New Roman" w:hAnsi="Times New Roman" w:cs="Times New Roman"/>
                <w:sz w:val="20"/>
                <w:szCs w:val="20"/>
              </w:rPr>
            </w:pPr>
            <w:r>
              <w:rPr>
                <w:rFonts w:cs="Times New Roman" w:ascii="Times New Roman" w:hAnsi="Times New Roman"/>
                <w:sz w:val="20"/>
                <w:szCs w:val="20"/>
              </w:rPr>
              <w:t>Центральная котельная с. Летняя Ставка, ул. Советская, б/н</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654,240</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6"/>
              <w:jc w:val="center"/>
              <w:rPr>
                <w:rFonts w:ascii="Times New Roman" w:hAnsi="Times New Roman" w:cs="Times New Roman"/>
                <w:sz w:val="20"/>
                <w:szCs w:val="20"/>
              </w:rPr>
            </w:pPr>
            <w:r>
              <w:rPr>
                <w:rFonts w:cs="Times New Roman" w:ascii="Times New Roman" w:hAnsi="Times New Roman"/>
                <w:sz w:val="20"/>
                <w:szCs w:val="20"/>
              </w:rPr>
              <w:t>Котельная п. Красный Маныч, пер. Казачий, 9</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122,360</w:t>
            </w:r>
          </w:p>
        </w:tc>
      </w:tr>
      <w:tr>
        <w:trPr>
          <w:trHeight w:val="264"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6"/>
              <w:jc w:val="center"/>
              <w:rPr>
                <w:rFonts w:ascii="Times New Roman" w:hAnsi="Times New Roman" w:cs="Times New Roman"/>
                <w:sz w:val="20"/>
                <w:szCs w:val="20"/>
              </w:rPr>
            </w:pPr>
            <w:r>
              <w:rPr>
                <w:rFonts w:cs="Times New Roman" w:ascii="Times New Roman" w:hAnsi="Times New Roman"/>
                <w:sz w:val="20"/>
                <w:szCs w:val="20"/>
              </w:rPr>
              <w:t>Котельная п. Ясный, ул. Школьная, 1</w:t>
            </w:r>
          </w:p>
        </w:tc>
      </w:tr>
      <w:tr>
        <w:trPr>
          <w:trHeight w:val="53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65,246</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Котельная с. Кендже-Кулак (МКДОУ № 14) ул. Школьная, 4</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28,491</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7"/>
              <w:jc w:val="center"/>
              <w:rPr>
                <w:rFonts w:ascii="Times New Roman" w:hAnsi="Times New Roman" w:cs="Times New Roman"/>
                <w:sz w:val="20"/>
                <w:szCs w:val="20"/>
              </w:rPr>
            </w:pPr>
            <w:r>
              <w:rPr>
                <w:rFonts w:cs="Times New Roman" w:ascii="Times New Roman" w:hAnsi="Times New Roman"/>
                <w:sz w:val="20"/>
                <w:szCs w:val="20"/>
              </w:rPr>
              <w:t>Котельная с. Кендже-Кулак (МКОУ СОШ № 11), ул. Садовая, 17</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72,593</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МКДОУ№1 Теремок с. Летняя Ставка, ул. Лермонтова, 1</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29,973</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 № 15 п. КрасныйМаныч, ул. Школьная, 3</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16,749</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2 средняя школа с. Овощи, ул. Красная, 73</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52,373</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2 начальная школа с. Овощи, ул. Красная, 73</w:t>
            </w:r>
          </w:p>
        </w:tc>
      </w:tr>
      <w:tr>
        <w:trPr>
          <w:trHeight w:val="53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6,680</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2 мастерские с. Овощи, ул. Красная, 73</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4,348</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 № 3 с. Овощи, ул. Пролетарская, 60</w:t>
            </w:r>
          </w:p>
        </w:tc>
      </w:tr>
      <w:tr>
        <w:trPr>
          <w:trHeight w:val="53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27,764</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МБОУ СОШ №3 с. Камбулат, пл. Свободы, 53</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78,464</w:t>
            </w:r>
          </w:p>
        </w:tc>
      </w:tr>
      <w:tr>
        <w:trPr>
          <w:trHeight w:val="266"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7"/>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Камбулат, пл. Свободы, 55</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65,624</w:t>
            </w:r>
          </w:p>
        </w:tc>
      </w:tr>
      <w:tr>
        <w:trPr>
          <w:trHeight w:val="266"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участковая больница + хоз. блок с. Камбулат, пл. Свободы, 29</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27,078</w:t>
            </w:r>
          </w:p>
        </w:tc>
      </w:tr>
      <w:tr>
        <w:trPr>
          <w:trHeight w:val="265"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администрации с. Камбулат, пл. Свободы, 1</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5,679</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 № 4 с. Камбулат, пл. Свободы, 25</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20,151</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участковая больница с. Кучерла, ул. Садовая, 18</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67"/>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10,754</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9 с. Кучерла, ул. Стадионная, 25</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51,797</w:t>
            </w:r>
          </w:p>
        </w:tc>
      </w:tr>
      <w:tr>
        <w:trPr>
          <w:trHeight w:val="265"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Кучерла, ул. Стадионная, 17</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223"/>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8,189</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 № 12 с. Кучерла, ул. Стадионная, 27</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27,215</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а. Шарахалсун, ул. Молодежная, 83 в</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15,377</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№8 а. Куликовы-Копани, ул. Школьная, 10</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38,093</w:t>
            </w:r>
          </w:p>
        </w:tc>
      </w:tr>
      <w:tr>
        <w:trPr>
          <w:trHeight w:val="267"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7"/>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МКДОУ №11 а. Куликово-Копани, ул. Чапаева, 4а</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14,527</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7"/>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а. Куликово-Копани, ул. Горького,14</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16,941</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МКОУ СОШ № 5 с. Казгулак, ул. Ленина, 88</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73"/>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51,111</w:t>
            </w:r>
          </w:p>
        </w:tc>
      </w:tr>
      <w:tr>
        <w:trPr>
          <w:trHeight w:val="265"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Казгулак, ул. Ленина, 117</w:t>
            </w:r>
          </w:p>
        </w:tc>
      </w:tr>
      <w:tr>
        <w:trPr>
          <w:trHeight w:val="532"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75"/>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44,211</w:t>
            </w:r>
          </w:p>
        </w:tc>
      </w:tr>
      <w:tr>
        <w:trPr>
          <w:trHeight w:val="265"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музыкальной школы с. Казгулак, пер. Пионерский, 22</w:t>
            </w:r>
          </w:p>
        </w:tc>
      </w:tr>
      <w:tr>
        <w:trPr>
          <w:trHeight w:val="531"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225"/>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0" w:after="0"/>
              <w:jc w:val="center"/>
              <w:rPr>
                <w:rFonts w:ascii="Times New Roman" w:hAnsi="Times New Roman" w:cs="Times New Roman"/>
                <w:spacing w:val="-2"/>
                <w:sz w:val="20"/>
                <w:szCs w:val="20"/>
              </w:rPr>
            </w:pPr>
            <w:r>
              <w:rPr>
                <w:rFonts w:cs="Times New Roman" w:ascii="Times New Roman" w:hAnsi="Times New Roman"/>
                <w:spacing w:val="-2"/>
                <w:sz w:val="20"/>
                <w:szCs w:val="20"/>
              </w:rPr>
              <w:t>2,963</w:t>
            </w:r>
          </w:p>
        </w:tc>
      </w:tr>
      <w:tr>
        <w:trPr>
          <w:trHeight w:val="268"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9"/>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МБОУ СОШ № 4 с. Малые Ягуры, ул. Пионерская, 18</w:t>
            </w:r>
          </w:p>
        </w:tc>
      </w:tr>
      <w:tr>
        <w:trPr>
          <w:trHeight w:val="534"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5"/>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92,812</w:t>
            </w:r>
          </w:p>
        </w:tc>
      </w:tr>
      <w:tr>
        <w:trPr>
          <w:trHeight w:val="263"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78"/>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ЦКиД с. Малые Ягуры, ул. Пионерская, 29</w:t>
            </w:r>
          </w:p>
        </w:tc>
      </w:tr>
      <w:tr>
        <w:trPr>
          <w:trHeight w:val="53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75"/>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51,536</w:t>
            </w:r>
          </w:p>
        </w:tc>
      </w:tr>
      <w:tr>
        <w:trPr>
          <w:trHeight w:val="264" w:hRule="atLeast"/>
        </w:trPr>
        <w:tc>
          <w:tcPr>
            <w:tcW w:w="9853"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Источник теплоснабжения здания гаражей ООО «КХ» с. Летняя Ставка, ул. Аэродромная, 3А</w:t>
            </w:r>
          </w:p>
        </w:tc>
      </w:tr>
      <w:tr>
        <w:trPr>
          <w:trHeight w:val="533"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Природный газ,</w:t>
            </w:r>
          </w:p>
          <w:p>
            <w:pPr>
              <w:pStyle w:val="Normal"/>
              <w:spacing w:lineRule="auto" w:line="240" w:before="35" w:after="0"/>
              <w:jc w:val="center"/>
              <w:rPr>
                <w:rFonts w:ascii="Times New Roman" w:hAnsi="Times New Roman" w:cs="Times New Roman"/>
                <w:sz w:val="20"/>
                <w:szCs w:val="20"/>
              </w:rPr>
            </w:pPr>
            <w:r>
              <w:rPr>
                <w:rFonts w:cs="Times New Roman" w:ascii="Times New Roman" w:hAnsi="Times New Roman"/>
                <w:sz w:val="20"/>
                <w:szCs w:val="20"/>
              </w:rPr>
              <w:t>тыс. м</w:t>
            </w:r>
            <w:r>
              <w:rPr>
                <w:rFonts w:cs="Times New Roman" w:ascii="Times New Roman" w:hAnsi="Times New Roman"/>
                <w:sz w:val="20"/>
                <w:szCs w:val="20"/>
                <w:vertAlign w:val="superscript"/>
              </w:rPr>
              <w:t>3</w:t>
            </w:r>
            <w:r>
              <w:rPr>
                <w:rFonts w:cs="Times New Roman" w:ascii="Times New Roman" w:hAnsi="Times New Roman"/>
                <w:sz w:val="20"/>
                <w:szCs w:val="20"/>
              </w:rPr>
              <w:t>/год</w:t>
            </w:r>
          </w:p>
        </w:tc>
        <w:tc>
          <w:tcPr>
            <w:tcW w:w="1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7"/>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11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89"/>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1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9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224"/>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1" w:after="0"/>
              <w:jc w:val="center"/>
              <w:rPr>
                <w:rFonts w:ascii="Times New Roman" w:hAnsi="Times New Roman" w:cs="Times New Roman"/>
                <w:spacing w:val="-2"/>
                <w:sz w:val="20"/>
                <w:szCs w:val="20"/>
              </w:rPr>
            </w:pPr>
            <w:r>
              <w:rPr>
                <w:rFonts w:cs="Times New Roman" w:ascii="Times New Roman" w:hAnsi="Times New Roman"/>
                <w:spacing w:val="-2"/>
                <w:sz w:val="20"/>
                <w:szCs w:val="20"/>
              </w:rPr>
              <w:t>7,942</w:t>
            </w:r>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18.</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Перспективный баланс водопотребления холодной питьевой воды Туркменского муниципального округа</w:t>
      </w:r>
    </w:p>
    <w:tbl>
      <w:tblPr>
        <w:tblW w:w="9424" w:type="dxa"/>
        <w:jc w:val="center"/>
        <w:tblInd w:w="0" w:type="dxa"/>
        <w:tblLayout w:type="fixed"/>
        <w:tblCellMar>
          <w:top w:w="0" w:type="dxa"/>
          <w:left w:w="5" w:type="dxa"/>
          <w:bottom w:w="0" w:type="dxa"/>
          <w:right w:w="5" w:type="dxa"/>
        </w:tblCellMar>
        <w:tblLook w:val="04a0"/>
      </w:tblPr>
      <w:tblGrid>
        <w:gridCol w:w="490"/>
        <w:gridCol w:w="33"/>
        <w:gridCol w:w="3223"/>
        <w:gridCol w:w="27"/>
        <w:gridCol w:w="1822"/>
        <w:gridCol w:w="2160"/>
        <w:gridCol w:w="1669"/>
      </w:tblGrid>
      <w:tr>
        <w:trPr>
          <w:trHeight w:val="330" w:hRule="atLeast"/>
        </w:trPr>
        <w:tc>
          <w:tcPr>
            <w:tcW w:w="49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п/п</w:t>
            </w:r>
          </w:p>
        </w:tc>
        <w:tc>
          <w:tcPr>
            <w:tcW w:w="3256"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 потребителей</w:t>
            </w:r>
          </w:p>
        </w:tc>
        <w:tc>
          <w:tcPr>
            <w:tcW w:w="567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Расчетный срок 2041 год</w:t>
            </w:r>
          </w:p>
        </w:tc>
      </w:tr>
      <w:tr>
        <w:trPr>
          <w:trHeight w:val="799" w:hRule="atLeast"/>
        </w:trPr>
        <w:tc>
          <w:tcPr>
            <w:tcW w:w="49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3256"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Среднесуточное водопотребление, тыс. м3/сут.</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Максимально суточное водопотребление, тыс. м3/сут.</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Годовое, тыс. м3</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ГУП Ставрополькрайводоканал «Северный» -ПТП Ипатовское</w:t>
            </w:r>
          </w:p>
        </w:tc>
      </w:tr>
      <w:tr>
        <w:trPr>
          <w:trHeight w:val="20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Летняя Ставка, а. Чур</w:t>
            </w:r>
          </w:p>
        </w:tc>
      </w:tr>
      <w:tr>
        <w:trPr>
          <w:trHeight w:val="13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169,569</w:t>
            </w:r>
          </w:p>
        </w:tc>
      </w:tr>
      <w:tr>
        <w:trPr>
          <w:trHeight w:val="22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18,38</w:t>
            </w:r>
          </w:p>
        </w:tc>
      </w:tr>
      <w:tr>
        <w:trPr>
          <w:trHeight w:val="244"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123,52</w:t>
            </w:r>
          </w:p>
        </w:tc>
      </w:tr>
      <w:tr>
        <w:trPr>
          <w:trHeight w:val="133"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10,066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12,079</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3673,95</w:t>
            </w:r>
          </w:p>
        </w:tc>
      </w:tr>
      <w:tr>
        <w:trPr>
          <w:trHeight w:val="241"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Овощи, п. Отрадный</w:t>
            </w:r>
          </w:p>
        </w:tc>
      </w:tr>
      <w:tr>
        <w:trPr>
          <w:trHeight w:val="31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191,105</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0,19</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68,69</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35,85</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0,81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295,65</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Красная Поляна</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10,895</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9,04</w:t>
            </w:r>
          </w:p>
        </w:tc>
      </w:tr>
      <w:tr>
        <w:trPr>
          <w:trHeight w:val="31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2,57</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22,51</w:t>
            </w:r>
          </w:p>
        </w:tc>
      </w:tr>
      <w:tr>
        <w:trPr>
          <w:trHeight w:val="267"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Малые Ягуры</w:t>
            </w:r>
          </w:p>
        </w:tc>
      </w:tr>
      <w:tr>
        <w:trPr>
          <w:trHeight w:val="31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55,511</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7,13</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0,09</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27,84</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90,48</w:t>
            </w:r>
          </w:p>
        </w:tc>
      </w:tr>
      <w:tr>
        <w:trPr>
          <w:trHeight w:val="315"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Владимировка, а. Маштак Кулак</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42,717</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4,68</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18,57</w:t>
            </w:r>
          </w:p>
        </w:tc>
      </w:tr>
      <w:tr>
        <w:trPr>
          <w:trHeight w:val="167"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0,18</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65,97</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Камбулат</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0,18</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65,627</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7,27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0,09</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34,57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0,29</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0,35</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107,47</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Казгулак</w:t>
            </w:r>
          </w:p>
        </w:tc>
      </w:tr>
      <w:tr>
        <w:trPr>
          <w:trHeight w:val="297"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53,682</w:t>
            </w:r>
          </w:p>
        </w:tc>
      </w:tr>
      <w:tr>
        <w:trPr>
          <w:trHeight w:val="272"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7,27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25,33</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86,28</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Березовский</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8,983</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10,29</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22,14</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Поперечный</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0,020</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6,159</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12,61</w:t>
            </w:r>
          </w:p>
        </w:tc>
      </w:tr>
      <w:tr>
        <w:trPr>
          <w:trHeight w:val="315"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19,47</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а. Куликовы Копани</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30,977</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3,28</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41,96</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0,25</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76,22</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Таврический</w:t>
            </w:r>
          </w:p>
        </w:tc>
      </w:tr>
      <w:tr>
        <w:trPr>
          <w:trHeight w:val="315"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0,191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0,229</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69,693</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0,580</w:t>
            </w:r>
          </w:p>
        </w:tc>
      </w:tr>
      <w:tr>
        <w:trPr>
          <w:trHeight w:val="315"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4,070</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0,244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74,343</w:t>
            </w:r>
          </w:p>
        </w:tc>
      </w:tr>
      <w:tr>
        <w:trPr>
          <w:trHeight w:val="315"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Троицкий</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6,409</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10,418</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0,8</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17,63</w:t>
            </w:r>
          </w:p>
        </w:tc>
      </w:tr>
      <w:tr>
        <w:trPr>
          <w:trHeight w:val="315"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Ясный</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23,689</w:t>
            </w:r>
          </w:p>
        </w:tc>
      </w:tr>
      <w:tr>
        <w:trPr>
          <w:trHeight w:val="315"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1,020</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0,049</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0,059</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17,870</w:t>
            </w:r>
          </w:p>
        </w:tc>
      </w:tr>
      <w:tr>
        <w:trPr>
          <w:trHeight w:val="318"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0,140</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42,579</w:t>
            </w:r>
          </w:p>
        </w:tc>
      </w:tr>
      <w:tr>
        <w:trPr>
          <w:trHeight w:val="315"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а. Сабан-Антуста</w:t>
            </w:r>
          </w:p>
        </w:tc>
      </w:tr>
      <w:tr>
        <w:trPr>
          <w:trHeight w:val="349"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22,247</w:t>
            </w:r>
          </w:p>
        </w:tc>
      </w:tr>
      <w:tr>
        <w:trPr>
          <w:trHeight w:val="316" w:hRule="atLeast"/>
        </w:trPr>
        <w:tc>
          <w:tcPr>
            <w:tcW w:w="52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0,950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0,055</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16,780</w:t>
            </w:r>
          </w:p>
        </w:tc>
      </w:tr>
      <w:tr>
        <w:trPr>
          <w:trHeight w:val="31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0,110</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0,131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39,977</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Кендже-Кулак</w:t>
            </w:r>
          </w:p>
        </w:tc>
      </w:tr>
      <w:tr>
        <w:trPr>
          <w:trHeight w:val="33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0,068</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20,740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0,890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15,640</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0,123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37,270</w:t>
            </w:r>
          </w:p>
        </w:tc>
      </w:tr>
      <w:tr>
        <w:trPr>
          <w:trHeight w:val="227"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а. Шарахалсун</w:t>
            </w:r>
          </w:p>
        </w:tc>
      </w:tr>
      <w:tr>
        <w:trPr>
          <w:trHeight w:val="340"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49,91</w:t>
            </w:r>
          </w:p>
        </w:tc>
      </w:tr>
      <w:tr>
        <w:trPr>
          <w:trHeight w:val="20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2,15</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41,72</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93,78</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 Кучерла</w:t>
            </w:r>
          </w:p>
        </w:tc>
      </w:tr>
      <w:tr>
        <w:trPr>
          <w:trHeight w:val="240"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0,091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0,109</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33,209</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0,005</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1,750</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0,069</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0,082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25,050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0,164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0,197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60,009</w:t>
            </w:r>
          </w:p>
        </w:tc>
      </w:tr>
      <w:tr>
        <w:trPr>
          <w:trHeight w:val="315"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Красный Маныч</w:t>
            </w:r>
          </w:p>
        </w:tc>
      </w:tr>
      <w:tr>
        <w:trPr>
          <w:trHeight w:val="23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0,063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0,076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23,016</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Организации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0,990</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0,048</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0,057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17,360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0,136</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41,366</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Голубиный</w:t>
            </w:r>
          </w:p>
        </w:tc>
      </w:tr>
      <w:tr>
        <w:trPr>
          <w:trHeight w:val="36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3,942</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2,97</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6,91</w:t>
            </w:r>
          </w:p>
        </w:tc>
      </w:tr>
      <w:tr>
        <w:trPr>
          <w:trHeight w:val="316"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Прудовый</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0,0004</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0,0004</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0,1280</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0,0003</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0,1000</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0,0007</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0,2280</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Новорагулинский</w:t>
            </w:r>
          </w:p>
        </w:tc>
      </w:tr>
      <w:tr>
        <w:trPr>
          <w:trHeight w:val="392"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2,426</w:t>
            </w:r>
          </w:p>
        </w:tc>
      </w:tr>
      <w:tr>
        <w:trPr>
          <w:trHeight w:val="319"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1,84</w:t>
            </w:r>
          </w:p>
        </w:tc>
      </w:tr>
      <w:tr>
        <w:trPr>
          <w:trHeight w:val="315"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4,27</w:t>
            </w:r>
          </w:p>
        </w:tc>
      </w:tr>
      <w:tr>
        <w:trPr>
          <w:trHeight w:val="318" w:hRule="atLeast"/>
        </w:trPr>
        <w:tc>
          <w:tcPr>
            <w:tcW w:w="9424"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Новокучерлинский</w:t>
            </w:r>
          </w:p>
        </w:tc>
      </w:tr>
      <w:tr>
        <w:trPr>
          <w:trHeight w:val="316"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Население</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3,14</w:t>
            </w:r>
          </w:p>
        </w:tc>
      </w:tr>
      <w:tr>
        <w:trPr>
          <w:trHeight w:val="318"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Потери</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2,37</w:t>
            </w:r>
          </w:p>
        </w:tc>
      </w:tr>
      <w:tr>
        <w:trPr>
          <w:trHeight w:val="317" w:hRule="atLeast"/>
        </w:trPr>
        <w:tc>
          <w:tcPr>
            <w:tcW w:w="4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25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Итого:</w:t>
            </w:r>
          </w:p>
        </w:tc>
        <w:tc>
          <w:tcPr>
            <w:tcW w:w="18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0,02</w:t>
            </w:r>
          </w:p>
        </w:tc>
        <w:tc>
          <w:tcPr>
            <w:tcW w:w="16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0,36</w:t>
            </w:r>
          </w:p>
        </w:tc>
      </w:tr>
    </w:tbl>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Туркменском муниципальном округе ожидается увеличение численности населения, подключённого к централизованной системе водоотведения, что приведёт к увеличению объёма сточных вод, поступающих в систему.</w:t>
      </w:r>
    </w:p>
    <w:p>
      <w:pPr>
        <w:pStyle w:val="Normal"/>
        <w:spacing w:lineRule="auto" w:line="240" w:before="0" w:after="0"/>
        <w:ind w:firstLine="567"/>
        <w:jc w:val="right"/>
        <w:rPr>
          <w:rFonts w:ascii="Times New Roman" w:hAnsi="Times New Roman" w:cs="Times New Roman"/>
          <w:sz w:val="24"/>
          <w:szCs w:val="24"/>
        </w:rPr>
      </w:pPr>
      <w:r>
        <w:rPr>
          <w:rFonts w:cs="Times New Roman" w:ascii="Times New Roman" w:hAnsi="Times New Roman"/>
          <w:sz w:val="24"/>
          <w:szCs w:val="24"/>
        </w:rPr>
        <w:t>Таблица 19.</w:t>
      </w:r>
    </w:p>
    <w:p>
      <w:pPr>
        <w:pStyle w:val="Normal"/>
        <w:spacing w:lineRule="auto" w:line="240" w:before="0" w:after="0"/>
        <w:ind w:firstLine="567"/>
        <w:jc w:val="center"/>
        <w:rPr>
          <w:rFonts w:ascii="Times New Roman" w:hAnsi="Times New Roman" w:cs="Times New Roman"/>
          <w:sz w:val="24"/>
          <w:szCs w:val="24"/>
        </w:rPr>
      </w:pPr>
      <w:r>
        <w:rPr>
          <w:rFonts w:cs="Times New Roman" w:ascii="Times New Roman" w:hAnsi="Times New Roman"/>
          <w:sz w:val="24"/>
          <w:szCs w:val="24"/>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p>
      <w:pPr>
        <w:pStyle w:val="Normal"/>
        <w:spacing w:lineRule="auto" w:line="240" w:before="0" w:after="0"/>
        <w:ind w:firstLine="567"/>
        <w:jc w:val="center"/>
        <w:rPr>
          <w:rFonts w:ascii="Times New Roman" w:hAnsi="Times New Roman" w:cs="Times New Roman"/>
          <w:sz w:val="16"/>
          <w:szCs w:val="16"/>
        </w:rPr>
      </w:pPr>
      <w:r>
        <w:rPr>
          <w:rFonts w:cs="Times New Roman" w:ascii="Times New Roman" w:hAnsi="Times New Roman"/>
          <w:sz w:val="16"/>
          <w:szCs w:val="16"/>
        </w:rPr>
      </w:r>
    </w:p>
    <w:tbl>
      <w:tblPr>
        <w:tblW w:w="9496" w:type="dxa"/>
        <w:jc w:val="left"/>
        <w:tblInd w:w="168" w:type="dxa"/>
        <w:tblLayout w:type="fixed"/>
        <w:tblCellMar>
          <w:top w:w="0" w:type="dxa"/>
          <w:left w:w="5" w:type="dxa"/>
          <w:bottom w:w="0" w:type="dxa"/>
          <w:right w:w="5" w:type="dxa"/>
        </w:tblCellMar>
        <w:tblLook w:val="04a0"/>
      </w:tblPr>
      <w:tblGrid>
        <w:gridCol w:w="4390"/>
        <w:gridCol w:w="5105"/>
      </w:tblGrid>
      <w:tr>
        <w:trPr>
          <w:trHeight w:val="137"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Год</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Прогнозные балансы м3/год</w:t>
            </w:r>
          </w:p>
        </w:tc>
      </w:tr>
      <w:tr>
        <w:trPr>
          <w:trHeight w:val="184" w:hRule="atLeast"/>
        </w:trPr>
        <w:tc>
          <w:tcPr>
            <w:tcW w:w="949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Туркменский МО</w:t>
            </w:r>
          </w:p>
        </w:tc>
      </w:tr>
      <w:tr>
        <w:trPr>
          <w:trHeight w:val="116"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2024</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r>
      <w:tr>
        <w:trPr>
          <w:trHeight w:val="318"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2025</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r>
      <w:tr>
        <w:trPr>
          <w:trHeight w:val="167"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2026</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r>
      <w:tr>
        <w:trPr>
          <w:trHeight w:val="242"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2027</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1524,14</w:t>
            </w:r>
          </w:p>
        </w:tc>
      </w:tr>
      <w:tr>
        <w:trPr>
          <w:trHeight w:val="316"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2028</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2286,21</w:t>
            </w:r>
          </w:p>
        </w:tc>
      </w:tr>
      <w:tr>
        <w:trPr>
          <w:trHeight w:val="318"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2029</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3048,28</w:t>
            </w:r>
          </w:p>
        </w:tc>
      </w:tr>
      <w:tr>
        <w:trPr>
          <w:trHeight w:val="143" w:hRule="atLeast"/>
        </w:trPr>
        <w:tc>
          <w:tcPr>
            <w:tcW w:w="43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2030-2041</w:t>
            </w:r>
          </w:p>
        </w:tc>
        <w:tc>
          <w:tcPr>
            <w:tcW w:w="51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12955,19</w:t>
            </w:r>
          </w:p>
        </w:tc>
      </w:tr>
    </w:tbl>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right"/>
        <w:rPr>
          <w:rFonts w:ascii="Times New Roman" w:hAnsi="Times New Roman" w:cs="Times New Roman"/>
          <w:sz w:val="24"/>
          <w:szCs w:val="28"/>
        </w:rPr>
      </w:pPr>
      <w:r>
        <w:rPr>
          <w:rFonts w:cs="Times New Roman" w:ascii="Times New Roman" w:hAnsi="Times New Roman"/>
          <w:sz w:val="24"/>
          <w:szCs w:val="28"/>
        </w:rPr>
        <w:t>Таблица 20.</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Сведения о фактическом и ожидаемом поступлении сточных вод в централизованную систему водоотведения</w:t>
      </w:r>
    </w:p>
    <w:p>
      <w:pPr>
        <w:pStyle w:val="Normal"/>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r>
    </w:p>
    <w:tbl>
      <w:tblPr>
        <w:tblW w:w="9651" w:type="dxa"/>
        <w:jc w:val="left"/>
        <w:tblInd w:w="165" w:type="dxa"/>
        <w:tblLayout w:type="fixed"/>
        <w:tblCellMar>
          <w:top w:w="0" w:type="dxa"/>
          <w:left w:w="5" w:type="dxa"/>
          <w:bottom w:w="0" w:type="dxa"/>
          <w:right w:w="5" w:type="dxa"/>
        </w:tblCellMar>
        <w:tblLook w:val="04a0"/>
      </w:tblPr>
      <w:tblGrid>
        <w:gridCol w:w="2710"/>
        <w:gridCol w:w="2405"/>
        <w:gridCol w:w="2268"/>
        <w:gridCol w:w="2267"/>
      </w:tblGrid>
      <w:tr>
        <w:trPr>
          <w:trHeight w:val="185" w:hRule="atLeast"/>
        </w:trPr>
        <w:tc>
          <w:tcPr>
            <w:tcW w:w="965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Поступление сточных вод на очистные сооружения</w:t>
            </w:r>
          </w:p>
        </w:tc>
      </w:tr>
      <w:tr>
        <w:trPr>
          <w:trHeight w:val="246" w:hRule="atLeast"/>
        </w:trPr>
        <w:tc>
          <w:tcPr>
            <w:tcW w:w="51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Существующее</w:t>
            </w:r>
          </w:p>
        </w:tc>
        <w:tc>
          <w:tcPr>
            <w:tcW w:w="453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Планируемое</w:t>
            </w:r>
          </w:p>
        </w:tc>
      </w:tr>
      <w:tr>
        <w:trPr>
          <w:trHeight w:val="278" w:hRule="atLeast"/>
        </w:trPr>
        <w:tc>
          <w:tcPr>
            <w:tcW w:w="965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Красный Маныч</w:t>
            </w:r>
          </w:p>
        </w:tc>
      </w:tr>
      <w:tr>
        <w:trPr>
          <w:trHeight w:val="126" w:hRule="atLeast"/>
        </w:trPr>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м3/год</w:t>
            </w:r>
          </w:p>
        </w:tc>
        <w:tc>
          <w:tcPr>
            <w:tcW w:w="24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м3/сут.</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м3/год</w:t>
            </w:r>
          </w:p>
        </w:tc>
        <w:tc>
          <w:tcPr>
            <w:tcW w:w="22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м3/сут.</w:t>
            </w:r>
          </w:p>
        </w:tc>
      </w:tr>
      <w:tr>
        <w:trPr>
          <w:trHeight w:val="146" w:hRule="atLeast"/>
        </w:trPr>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6,413</w:t>
            </w:r>
          </w:p>
        </w:tc>
        <w:tc>
          <w:tcPr>
            <w:tcW w:w="22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0,017</w:t>
            </w:r>
          </w:p>
        </w:tc>
      </w:tr>
      <w:tr>
        <w:trPr>
          <w:trHeight w:val="117" w:hRule="atLeast"/>
        </w:trPr>
        <w:tc>
          <w:tcPr>
            <w:tcW w:w="965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 Ясный</w:t>
            </w:r>
          </w:p>
        </w:tc>
      </w:tr>
      <w:tr>
        <w:trPr>
          <w:trHeight w:val="144" w:hRule="atLeast"/>
        </w:trPr>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м3/год</w:t>
            </w:r>
          </w:p>
        </w:tc>
        <w:tc>
          <w:tcPr>
            <w:tcW w:w="24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м3/сут.</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м3/год</w:t>
            </w:r>
          </w:p>
        </w:tc>
        <w:tc>
          <w:tcPr>
            <w:tcW w:w="22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тыс. м3/сут.</w:t>
            </w:r>
          </w:p>
        </w:tc>
      </w:tr>
      <w:tr>
        <w:trPr>
          <w:trHeight w:val="191" w:hRule="atLeast"/>
        </w:trPr>
        <w:tc>
          <w:tcPr>
            <w:tcW w:w="2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6,542</w:t>
            </w:r>
          </w:p>
        </w:tc>
        <w:tc>
          <w:tcPr>
            <w:tcW w:w="22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0,0,18</w:t>
            </w:r>
          </w:p>
        </w:tc>
      </w:tr>
    </w:tbl>
    <w:p>
      <w:pPr>
        <w:pStyle w:val="Normal"/>
        <w:spacing w:lineRule="auto" w:line="240" w:before="0" w:after="0"/>
        <w:ind w:firstLine="567"/>
        <w:jc w:val="both"/>
        <w:rPr>
          <w:rFonts w:ascii="Times New Roman" w:hAnsi="Times New Roman" w:cs="Times New Roman"/>
          <w:bCs/>
          <w:sz w:val="24"/>
          <w:szCs w:val="28"/>
        </w:rPr>
      </w:pPr>
      <w:r>
        <w:rPr>
          <w:rFonts w:cs="Times New Roman" w:ascii="Times New Roman" w:hAnsi="Times New Roman"/>
          <w:bCs/>
          <w:sz w:val="24"/>
          <w:szCs w:val="28"/>
        </w:rPr>
        <w:t>Нормативы потребления коммунальных услуг в Туркменском муниципальном округе Ставропольского края.</w:t>
      </w:r>
    </w:p>
    <w:p>
      <w:pPr>
        <w:pStyle w:val="Normal"/>
        <w:spacing w:lineRule="auto" w:line="240" w:before="0" w:after="0"/>
        <w:ind w:firstLine="567"/>
        <w:jc w:val="both"/>
        <w:rPr>
          <w:rFonts w:ascii="Times New Roman" w:hAnsi="Times New Roman" w:cs="Times New Roman"/>
          <w:b/>
          <w:bCs/>
          <w:sz w:val="24"/>
          <w:szCs w:val="28"/>
        </w:rPr>
      </w:pPr>
      <w:r>
        <w:rPr>
          <w:rFonts w:cs="Times New Roman" w:ascii="Times New Roman" w:hAnsi="Times New Roman"/>
          <w:sz w:val="24"/>
          <w:szCs w:val="28"/>
          <w:shd w:fill="FFFFFF" w:val="clear"/>
        </w:rPr>
        <w:t>Нормативы потребления коммунальных услуг в Туркменском муниципальном округе Ставропольского края регулируются общими для всего края правовыми актами.</w:t>
      </w:r>
    </w:p>
    <w:p>
      <w:pPr>
        <w:pStyle w:val="NormalWeb"/>
        <w:shd w:val="clear" w:color="auto" w:fill="FFFFFF"/>
        <w:spacing w:before="0" w:after="0"/>
        <w:ind w:firstLine="567"/>
        <w:jc w:val="both"/>
        <w:rPr>
          <w:szCs w:val="28"/>
        </w:rPr>
      </w:pPr>
      <w:r>
        <w:rPr>
          <w:szCs w:val="28"/>
        </w:rPr>
        <w:t>Основные документы, определяющие нормативы потребления коммунальных услуг в Ставропольском крае:</w:t>
      </w:r>
    </w:p>
    <w:p>
      <w:pPr>
        <w:pStyle w:val="NormalWeb"/>
        <w:shd w:val="clear" w:color="auto" w:fill="FFFFFF"/>
        <w:spacing w:before="0" w:after="0"/>
        <w:ind w:firstLine="567"/>
        <w:jc w:val="both"/>
        <w:rPr>
          <w:szCs w:val="28"/>
        </w:rPr>
      </w:pPr>
      <w:r>
        <w:rPr>
          <w:rStyle w:val="Strong"/>
          <w:b w:val="false"/>
          <w:szCs w:val="28"/>
        </w:rPr>
        <w:t>Нормативы потребления коммунальной услуги по электроснабжению</w:t>
      </w:r>
      <w:r>
        <w:rPr>
          <w:b/>
          <w:szCs w:val="28"/>
        </w:rPr>
        <w:t xml:space="preserve"> -</w:t>
      </w:r>
      <w:r>
        <w:rPr>
          <w:szCs w:val="28"/>
        </w:rPr>
        <w:t xml:space="preserve"> утверждены Приказом министерства ЖКХ СК от 29.08.2012 № 298-о/д. Документ содержит нормативы для разных категорий жилых помещений в зависимости от количества комнат и числа проживающих.</w:t>
      </w:r>
    </w:p>
    <w:p>
      <w:pPr>
        <w:pStyle w:val="NormalWeb"/>
        <w:shd w:val="clear" w:color="auto" w:fill="FFFFFF"/>
        <w:spacing w:before="0" w:after="0"/>
        <w:ind w:firstLine="567"/>
        <w:jc w:val="right"/>
        <w:rPr>
          <w:szCs w:val="28"/>
        </w:rPr>
      </w:pPr>
      <w:r>
        <w:rPr>
          <w:szCs w:val="28"/>
        </w:rPr>
        <w:t>Таблица 21.</w:t>
      </w:r>
    </w:p>
    <w:p>
      <w:pPr>
        <w:pStyle w:val="NormalWeb"/>
        <w:shd w:val="clear" w:color="auto" w:fill="FFFFFF"/>
        <w:spacing w:before="0" w:after="0"/>
        <w:ind w:firstLine="567"/>
        <w:jc w:val="center"/>
        <w:rPr>
          <w:szCs w:val="28"/>
        </w:rPr>
      </w:pPr>
      <w:r>
        <w:rPr>
          <w:szCs w:val="28"/>
        </w:rPr>
        <w:t>Норматив потребления коммунальной услуги по электроснабжению в жилых помещениях многоквартирных домов и жилых домах, в том числе общежитиях квартирного типа</w:t>
      </w:r>
    </w:p>
    <w:tbl>
      <w:tblPr>
        <w:tblW w:w="9389" w:type="dxa"/>
        <w:jc w:val="left"/>
        <w:tblInd w:w="30" w:type="dxa"/>
        <w:tblLayout w:type="fixed"/>
        <w:tblCellMar>
          <w:top w:w="0" w:type="dxa"/>
          <w:left w:w="5" w:type="dxa"/>
          <w:bottom w:w="0" w:type="dxa"/>
          <w:right w:w="5" w:type="dxa"/>
        </w:tblCellMar>
        <w:tblLook w:val="04a0"/>
      </w:tblPr>
      <w:tblGrid>
        <w:gridCol w:w="583"/>
        <w:gridCol w:w="2985"/>
        <w:gridCol w:w="1721"/>
        <w:gridCol w:w="170"/>
        <w:gridCol w:w="690"/>
        <w:gridCol w:w="361"/>
        <w:gridCol w:w="512"/>
        <w:gridCol w:w="531"/>
        <w:gridCol w:w="149"/>
        <w:gridCol w:w="712"/>
        <w:gridCol w:w="973"/>
      </w:tblGrid>
      <w:tr>
        <w:trPr>
          <w:trHeight w:val="360" w:hRule="atLeast"/>
        </w:trPr>
        <w:tc>
          <w:tcPr>
            <w:tcW w:w="58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9"/>
              <w:jc w:val="center"/>
              <w:rPr>
                <w:rFonts w:ascii="Times New Roman" w:hAnsi="Times New Roman" w:cs="Times New Roman"/>
                <w:spacing w:val="-4"/>
                <w:sz w:val="20"/>
                <w:szCs w:val="20"/>
              </w:rPr>
            </w:pPr>
            <w:r>
              <w:rPr>
                <w:rFonts w:cs="Times New Roman" w:ascii="Times New Roman" w:hAnsi="Times New Roman"/>
                <w:spacing w:val="-4"/>
                <w:sz w:val="20"/>
                <w:szCs w:val="20"/>
              </w:rPr>
              <w:t>№</w:t>
            </w:r>
          </w:p>
          <w:p>
            <w:pPr>
              <w:pStyle w:val="Normal"/>
              <w:spacing w:lineRule="auto" w:line="240" w:before="0" w:after="0"/>
              <w:ind w:right="119"/>
              <w:jc w:val="center"/>
              <w:rPr>
                <w:rFonts w:ascii="Times New Roman" w:hAnsi="Times New Roman" w:cs="Times New Roman"/>
                <w:spacing w:val="-4"/>
                <w:sz w:val="20"/>
                <w:szCs w:val="20"/>
              </w:rPr>
            </w:pPr>
            <w:r>
              <w:rPr>
                <w:rFonts w:cs="Times New Roman" w:ascii="Times New Roman" w:hAnsi="Times New Roman"/>
                <w:spacing w:val="-4"/>
                <w:sz w:val="20"/>
                <w:szCs w:val="20"/>
              </w:rPr>
              <w:t>п/п</w:t>
            </w:r>
          </w:p>
        </w:tc>
        <w:tc>
          <w:tcPr>
            <w:tcW w:w="298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30"/>
              <w:jc w:val="center"/>
              <w:rPr>
                <w:rFonts w:ascii="Times New Roman" w:hAnsi="Times New Roman" w:cs="Times New Roman"/>
                <w:spacing w:val="-2"/>
                <w:sz w:val="20"/>
                <w:szCs w:val="20"/>
              </w:rPr>
            </w:pPr>
            <w:r>
              <w:rPr>
                <w:rFonts w:cs="Times New Roman" w:ascii="Times New Roman" w:hAnsi="Times New Roman"/>
                <w:sz w:val="20"/>
                <w:szCs w:val="20"/>
              </w:rPr>
              <w:t xml:space="preserve">Категория жилых </w:t>
            </w:r>
            <w:r>
              <w:rPr>
                <w:rFonts w:cs="Times New Roman" w:ascii="Times New Roman" w:hAnsi="Times New Roman"/>
                <w:spacing w:val="-2"/>
                <w:sz w:val="20"/>
                <w:szCs w:val="20"/>
              </w:rPr>
              <w:t>помещений</w:t>
            </w:r>
          </w:p>
        </w:tc>
        <w:tc>
          <w:tcPr>
            <w:tcW w:w="172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8" w:after="0"/>
              <w:ind w:right="116"/>
              <w:jc w:val="center"/>
              <w:rPr>
                <w:rFonts w:ascii="Times New Roman" w:hAnsi="Times New Roman" w:cs="Times New Roman"/>
                <w:spacing w:val="-2"/>
                <w:sz w:val="20"/>
                <w:szCs w:val="20"/>
              </w:rPr>
            </w:pPr>
            <w:r>
              <w:rPr>
                <w:rFonts w:cs="Times New Roman" w:ascii="Times New Roman" w:hAnsi="Times New Roman"/>
                <w:spacing w:val="-2"/>
                <w:sz w:val="20"/>
                <w:szCs w:val="20"/>
              </w:rPr>
              <w:t xml:space="preserve">Кол-во </w:t>
            </w:r>
            <w:r>
              <w:rPr>
                <w:rFonts w:cs="Times New Roman" w:ascii="Times New Roman" w:hAnsi="Times New Roman"/>
                <w:sz w:val="20"/>
                <w:szCs w:val="20"/>
              </w:rPr>
              <w:t xml:space="preserve">комнат в </w:t>
            </w:r>
            <w:r>
              <w:rPr>
                <w:rFonts w:cs="Times New Roman" w:ascii="Times New Roman" w:hAnsi="Times New Roman"/>
                <w:spacing w:val="-2"/>
                <w:sz w:val="20"/>
                <w:szCs w:val="20"/>
              </w:rPr>
              <w:t>жилом</w:t>
            </w:r>
          </w:p>
          <w:p>
            <w:pPr>
              <w:pStyle w:val="Normal"/>
              <w:spacing w:lineRule="auto" w:line="240" w:before="1" w:after="0"/>
              <w:ind w:right="121"/>
              <w:jc w:val="center"/>
              <w:rPr>
                <w:rFonts w:ascii="Times New Roman" w:hAnsi="Times New Roman" w:cs="Times New Roman"/>
                <w:spacing w:val="-2"/>
                <w:sz w:val="20"/>
                <w:szCs w:val="20"/>
              </w:rPr>
            </w:pPr>
            <w:r>
              <w:rPr>
                <w:rFonts w:cs="Times New Roman" w:ascii="Times New Roman" w:hAnsi="Times New Roman"/>
                <w:spacing w:val="-2"/>
                <w:sz w:val="20"/>
                <w:szCs w:val="20"/>
              </w:rPr>
              <w:t>помещении</w:t>
            </w:r>
          </w:p>
        </w:tc>
        <w:tc>
          <w:tcPr>
            <w:tcW w:w="4098"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Количество человек, проживающих в </w:t>
            </w:r>
            <w:r>
              <w:rPr>
                <w:rFonts w:cs="Times New Roman" w:ascii="Times New Roman" w:hAnsi="Times New Roman"/>
                <w:spacing w:val="-2"/>
                <w:sz w:val="20"/>
                <w:szCs w:val="20"/>
              </w:rPr>
              <w:t>помещении</w:t>
            </w:r>
          </w:p>
        </w:tc>
      </w:tr>
      <w:tr>
        <w:trPr>
          <w:trHeight w:val="279"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2" w:after="0"/>
              <w:jc w:val="center"/>
              <w:rPr>
                <w:rFonts w:ascii="Times New Roman" w:hAnsi="Times New Roman" w:cs="Times New Roman"/>
                <w:sz w:val="20"/>
                <w:szCs w:val="20"/>
              </w:rPr>
            </w:pPr>
            <w:r>
              <w:rPr>
                <w:rFonts w:cs="Times New Roman" w:ascii="Times New Roman" w:hAnsi="Times New Roman"/>
                <w:sz w:val="20"/>
                <w:szCs w:val="20"/>
              </w:rPr>
              <w:t>1</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2" w:after="0"/>
              <w:jc w:val="center"/>
              <w:rPr>
                <w:rFonts w:ascii="Times New Roman" w:hAnsi="Times New Roman" w:cs="Times New Roman"/>
                <w:sz w:val="20"/>
                <w:szCs w:val="20"/>
              </w:rPr>
            </w:pPr>
            <w:r>
              <w:rPr>
                <w:rFonts w:cs="Times New Roman" w:ascii="Times New Roman" w:hAnsi="Times New Roman"/>
                <w:sz w:val="20"/>
                <w:szCs w:val="20"/>
              </w:rPr>
              <w:t>2</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2" w:after="0"/>
              <w:jc w:val="center"/>
              <w:rPr>
                <w:rFonts w:ascii="Times New Roman" w:hAnsi="Times New Roman" w:cs="Times New Roman"/>
                <w:sz w:val="20"/>
                <w:szCs w:val="20"/>
              </w:rPr>
            </w:pPr>
            <w:r>
              <w:rPr>
                <w:rFonts w:cs="Times New Roman" w:ascii="Times New Roman" w:hAnsi="Times New Roman"/>
                <w:sz w:val="20"/>
                <w:szCs w:val="20"/>
              </w:rPr>
              <w:t>3</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2" w:after="0"/>
              <w:jc w:val="center"/>
              <w:rPr>
                <w:rFonts w:ascii="Times New Roman" w:hAnsi="Times New Roman" w:cs="Times New Roman"/>
                <w:sz w:val="20"/>
                <w:szCs w:val="20"/>
              </w:rPr>
            </w:pPr>
            <w:r>
              <w:rPr>
                <w:rFonts w:cs="Times New Roman" w:ascii="Times New Roman" w:hAnsi="Times New Roman"/>
                <w:sz w:val="20"/>
                <w:szCs w:val="20"/>
              </w:rPr>
              <w:t>4</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8"/>
              <w:jc w:val="center"/>
              <w:rPr>
                <w:rFonts w:ascii="Times New Roman" w:hAnsi="Times New Roman" w:cs="Times New Roman"/>
                <w:sz w:val="20"/>
                <w:szCs w:val="20"/>
              </w:rPr>
            </w:pPr>
            <w:r>
              <w:rPr>
                <w:rFonts w:cs="Times New Roman" w:ascii="Times New Roman" w:hAnsi="Times New Roman"/>
                <w:sz w:val="20"/>
                <w:szCs w:val="20"/>
              </w:rPr>
              <w:t>5 и</w:t>
            </w:r>
          </w:p>
          <w:p>
            <w:pPr>
              <w:pStyle w:val="Normal"/>
              <w:spacing w:lineRule="auto" w:line="240" w:before="0" w:after="0"/>
              <w:ind w:right="259"/>
              <w:jc w:val="center"/>
              <w:rPr>
                <w:rFonts w:ascii="Times New Roman" w:hAnsi="Times New Roman" w:cs="Times New Roman"/>
                <w:spacing w:val="-2"/>
                <w:sz w:val="20"/>
                <w:szCs w:val="20"/>
              </w:rPr>
            </w:pPr>
            <w:r>
              <w:rPr>
                <w:rFonts w:cs="Times New Roman" w:ascii="Times New Roman" w:hAnsi="Times New Roman"/>
                <w:spacing w:val="-2"/>
                <w:sz w:val="20"/>
                <w:szCs w:val="20"/>
              </w:rPr>
              <w:t>более</w:t>
            </w:r>
          </w:p>
        </w:tc>
      </w:tr>
      <w:tr>
        <w:trPr>
          <w:trHeight w:val="275" w:hRule="atLeast"/>
        </w:trPr>
        <w:tc>
          <w:tcPr>
            <w:tcW w:w="58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82" w:after="0"/>
              <w:ind w:right="119"/>
              <w:jc w:val="center"/>
              <w:rPr>
                <w:rFonts w:ascii="Times New Roman" w:hAnsi="Times New Roman" w:cs="Times New Roman"/>
                <w:spacing w:val="-6"/>
                <w:sz w:val="20"/>
                <w:szCs w:val="20"/>
              </w:rPr>
            </w:pPr>
            <w:r>
              <w:rPr>
                <w:rFonts w:cs="Times New Roman" w:ascii="Times New Roman" w:hAnsi="Times New Roman"/>
                <w:spacing w:val="-6"/>
                <w:sz w:val="20"/>
                <w:szCs w:val="20"/>
              </w:rPr>
              <w:t>1.</w:t>
            </w:r>
          </w:p>
        </w:tc>
        <w:tc>
          <w:tcPr>
            <w:tcW w:w="298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Многоквартирные дома, общежития квартирного типа, необорудованные в установленном порядке </w:t>
            </w:r>
            <w:r>
              <w:rPr>
                <w:rFonts w:cs="Times New Roman" w:ascii="Times New Roman" w:hAnsi="Times New Roman"/>
                <w:spacing w:val="-2"/>
                <w:sz w:val="20"/>
                <w:szCs w:val="20"/>
              </w:rPr>
              <w:t xml:space="preserve">стационарными </w:t>
            </w:r>
            <w:r>
              <w:rPr>
                <w:rFonts w:cs="Times New Roman" w:ascii="Times New Roman" w:hAnsi="Times New Roman"/>
                <w:sz w:val="20"/>
                <w:szCs w:val="20"/>
              </w:rPr>
              <w:t xml:space="preserve">электроплитами для приготовления пищи, </w:t>
            </w:r>
            <w:r>
              <w:rPr>
                <w:rFonts w:cs="Times New Roman" w:ascii="Times New Roman" w:hAnsi="Times New Roman"/>
                <w:spacing w:val="-2"/>
                <w:sz w:val="20"/>
                <w:szCs w:val="20"/>
              </w:rPr>
              <w:t xml:space="preserve">электроотопительными, электронагревательными </w:t>
            </w:r>
            <w:r>
              <w:rPr>
                <w:rFonts w:cs="Times New Roman" w:ascii="Times New Roman" w:hAnsi="Times New Roman"/>
                <w:sz w:val="20"/>
                <w:szCs w:val="20"/>
              </w:rPr>
              <w:t>установками для целей горячего водоснабжения</w:t>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4"/>
                <w:sz w:val="20"/>
                <w:szCs w:val="20"/>
              </w:rPr>
            </w:pPr>
            <w:r>
              <w:rPr>
                <w:rFonts w:cs="Times New Roman" w:ascii="Times New Roman" w:hAnsi="Times New Roman"/>
                <w:spacing w:val="-4"/>
                <w:sz w:val="20"/>
                <w:szCs w:val="20"/>
              </w:rPr>
              <w:t>91,4</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56,7</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43,9</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35,6</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31,1</w:t>
            </w:r>
          </w:p>
        </w:tc>
      </w:tr>
      <w:tr>
        <w:trPr>
          <w:trHeight w:val="292"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jc w:val="center"/>
              <w:rPr>
                <w:rFonts w:ascii="Times New Roman" w:hAnsi="Times New Roman" w:cs="Times New Roman"/>
                <w:sz w:val="20"/>
                <w:szCs w:val="20"/>
              </w:rPr>
            </w:pPr>
            <w:r>
              <w:rPr>
                <w:rFonts w:cs="Times New Roman" w:ascii="Times New Roman" w:hAnsi="Times New Roman"/>
                <w:sz w:val="20"/>
                <w:szCs w:val="20"/>
              </w:rPr>
              <w:t>2</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117,9</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73,1</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56,6</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46,0</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40,1</w:t>
            </w:r>
          </w:p>
        </w:tc>
      </w:tr>
      <w:tr>
        <w:trPr>
          <w:trHeight w:val="289"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jc w:val="center"/>
              <w:rPr>
                <w:rFonts w:ascii="Times New Roman" w:hAnsi="Times New Roman" w:cs="Times New Roman"/>
                <w:sz w:val="20"/>
                <w:szCs w:val="20"/>
              </w:rPr>
            </w:pPr>
            <w:r>
              <w:rPr>
                <w:rFonts w:cs="Times New Roman" w:ascii="Times New Roman" w:hAnsi="Times New Roman"/>
                <w:sz w:val="20"/>
                <w:szCs w:val="20"/>
              </w:rPr>
              <w:t>3</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133,4</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82,7</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64,1</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52,0</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45,4</w:t>
            </w:r>
          </w:p>
        </w:tc>
      </w:tr>
      <w:tr>
        <w:trPr>
          <w:trHeight w:val="809"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0"/>
              <w:jc w:val="center"/>
              <w:rPr>
                <w:rFonts w:ascii="Times New Roman" w:hAnsi="Times New Roman" w:cs="Times New Roman"/>
                <w:sz w:val="20"/>
                <w:szCs w:val="20"/>
              </w:rPr>
            </w:pPr>
            <w:r>
              <w:rPr>
                <w:rFonts w:cs="Times New Roman" w:ascii="Times New Roman" w:hAnsi="Times New Roman"/>
                <w:sz w:val="20"/>
                <w:szCs w:val="20"/>
              </w:rPr>
              <w:t>4 и более</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144,4</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89,5</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69,3</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56,3</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49,1</w:t>
            </w:r>
          </w:p>
        </w:tc>
      </w:tr>
      <w:tr>
        <w:trPr>
          <w:trHeight w:val="274" w:hRule="atLeast"/>
        </w:trPr>
        <w:tc>
          <w:tcPr>
            <w:tcW w:w="58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9"/>
              <w:jc w:val="center"/>
              <w:rPr>
                <w:rFonts w:ascii="Times New Roman" w:hAnsi="Times New Roman" w:cs="Times New Roman"/>
                <w:spacing w:val="-6"/>
                <w:sz w:val="20"/>
                <w:szCs w:val="20"/>
              </w:rPr>
            </w:pPr>
            <w:r>
              <w:rPr>
                <w:rFonts w:cs="Times New Roman" w:ascii="Times New Roman" w:hAnsi="Times New Roman"/>
                <w:spacing w:val="-6"/>
                <w:sz w:val="20"/>
                <w:szCs w:val="20"/>
              </w:rPr>
              <w:t>2.</w:t>
            </w:r>
          </w:p>
        </w:tc>
        <w:tc>
          <w:tcPr>
            <w:tcW w:w="298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pacing w:val="-2"/>
                <w:sz w:val="20"/>
                <w:szCs w:val="20"/>
              </w:rPr>
            </w:pPr>
            <w:r>
              <w:rPr>
                <w:rFonts w:cs="Times New Roman" w:ascii="Times New Roman" w:hAnsi="Times New Roman"/>
                <w:sz w:val="20"/>
                <w:szCs w:val="20"/>
              </w:rPr>
              <w:t xml:space="preserve">Многоквартирные дома, общежития квартирного типа, оборудованные в установленном порядке </w:t>
            </w:r>
            <w:r>
              <w:rPr>
                <w:rFonts w:cs="Times New Roman" w:ascii="Times New Roman" w:hAnsi="Times New Roman"/>
                <w:spacing w:val="-2"/>
                <w:sz w:val="20"/>
                <w:szCs w:val="20"/>
              </w:rPr>
              <w:t xml:space="preserve">стационарными </w:t>
            </w:r>
            <w:r>
              <w:rPr>
                <w:rFonts w:cs="Times New Roman" w:ascii="Times New Roman" w:hAnsi="Times New Roman"/>
                <w:sz w:val="20"/>
                <w:szCs w:val="20"/>
              </w:rPr>
              <w:t xml:space="preserve">электроплитами для приготовления пищи и не </w:t>
            </w:r>
            <w:r>
              <w:rPr>
                <w:rFonts w:cs="Times New Roman" w:ascii="Times New Roman" w:hAnsi="Times New Roman"/>
                <w:spacing w:val="-2"/>
                <w:sz w:val="20"/>
                <w:szCs w:val="20"/>
              </w:rPr>
              <w:t xml:space="preserve">оборудованные </w:t>
            </w:r>
            <w:r>
              <w:rPr>
                <w:rFonts w:cs="Times New Roman" w:ascii="Times New Roman" w:hAnsi="Times New Roman"/>
                <w:sz w:val="20"/>
                <w:szCs w:val="20"/>
              </w:rPr>
              <w:t xml:space="preserve">электроотопительными и </w:t>
            </w:r>
            <w:r>
              <w:rPr>
                <w:rFonts w:cs="Times New Roman" w:ascii="Times New Roman" w:hAnsi="Times New Roman"/>
                <w:spacing w:val="-2"/>
                <w:sz w:val="20"/>
                <w:szCs w:val="20"/>
              </w:rPr>
              <w:t>электронагревательными</w:t>
            </w:r>
          </w:p>
          <w:p>
            <w:pPr>
              <w:pStyle w:val="Normal"/>
              <w:spacing w:lineRule="auto" w:line="240" w:before="0" w:after="0"/>
              <w:ind w:right="358"/>
              <w:jc w:val="both"/>
              <w:rPr>
                <w:rFonts w:ascii="Times New Roman" w:hAnsi="Times New Roman" w:cs="Times New Roman"/>
                <w:sz w:val="20"/>
                <w:szCs w:val="20"/>
              </w:rPr>
            </w:pPr>
            <w:r>
              <w:rPr>
                <w:rFonts w:cs="Times New Roman" w:ascii="Times New Roman" w:hAnsi="Times New Roman"/>
                <w:sz w:val="20"/>
                <w:szCs w:val="20"/>
              </w:rPr>
              <w:t>установками для целей горячего водоснабжения</w:t>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146,9</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91,1</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70,5</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57,3</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49,9</w:t>
            </w:r>
          </w:p>
        </w:tc>
      </w:tr>
      <w:tr>
        <w:trPr>
          <w:trHeight w:val="278"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z w:val="20"/>
                <w:szCs w:val="20"/>
              </w:rPr>
            </w:pPr>
            <w:r>
              <w:rPr>
                <w:rFonts w:cs="Times New Roman" w:ascii="Times New Roman" w:hAnsi="Times New Roman"/>
                <w:sz w:val="20"/>
                <w:szCs w:val="20"/>
              </w:rPr>
              <w:t>2</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189,5</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117,5</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91,0</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73,9</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64,4</w:t>
            </w:r>
          </w:p>
        </w:tc>
      </w:tr>
      <w:tr>
        <w:trPr>
          <w:trHeight w:val="275"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214,5</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133,0</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102,9</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83,6</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72,9</w:t>
            </w:r>
          </w:p>
        </w:tc>
      </w:tr>
      <w:tr>
        <w:trPr>
          <w:trHeight w:val="1271"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120"/>
              <w:jc w:val="center"/>
              <w:rPr>
                <w:rFonts w:ascii="Times New Roman" w:hAnsi="Times New Roman" w:cs="Times New Roman"/>
                <w:sz w:val="20"/>
                <w:szCs w:val="20"/>
              </w:rPr>
            </w:pPr>
            <w:r>
              <w:rPr>
                <w:rFonts w:cs="Times New Roman" w:ascii="Times New Roman" w:hAnsi="Times New Roman"/>
                <w:sz w:val="20"/>
                <w:szCs w:val="20"/>
              </w:rPr>
              <w:t>4 и более</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232,1</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143,9</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111,4</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90,5</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84"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78,9</w:t>
            </w:r>
          </w:p>
        </w:tc>
      </w:tr>
      <w:tr>
        <w:trPr>
          <w:trHeight w:val="276" w:hRule="atLeast"/>
        </w:trPr>
        <w:tc>
          <w:tcPr>
            <w:tcW w:w="58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9"/>
              <w:jc w:val="center"/>
              <w:rPr>
                <w:rFonts w:ascii="Times New Roman" w:hAnsi="Times New Roman" w:cs="Times New Roman"/>
                <w:spacing w:val="-6"/>
                <w:sz w:val="20"/>
                <w:szCs w:val="20"/>
              </w:rPr>
            </w:pPr>
            <w:r>
              <w:rPr>
                <w:rFonts w:cs="Times New Roman" w:ascii="Times New Roman" w:hAnsi="Times New Roman"/>
                <w:spacing w:val="-6"/>
                <w:sz w:val="20"/>
                <w:szCs w:val="20"/>
              </w:rPr>
              <w:t>3.</w:t>
            </w:r>
          </w:p>
        </w:tc>
        <w:tc>
          <w:tcPr>
            <w:tcW w:w="298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Жилые дома, не оборудованные в установленном порядке </w:t>
            </w:r>
            <w:r>
              <w:rPr>
                <w:rFonts w:cs="Times New Roman" w:ascii="Times New Roman" w:hAnsi="Times New Roman"/>
                <w:spacing w:val="-2"/>
                <w:sz w:val="20"/>
                <w:szCs w:val="20"/>
              </w:rPr>
              <w:t xml:space="preserve">стационарными </w:t>
            </w:r>
            <w:r>
              <w:rPr>
                <w:rFonts w:cs="Times New Roman" w:ascii="Times New Roman" w:hAnsi="Times New Roman"/>
                <w:sz w:val="20"/>
                <w:szCs w:val="20"/>
              </w:rPr>
              <w:t xml:space="preserve">электроплитами для приготовления пищи, </w:t>
            </w:r>
            <w:r>
              <w:rPr>
                <w:rFonts w:cs="Times New Roman" w:ascii="Times New Roman" w:hAnsi="Times New Roman"/>
                <w:spacing w:val="-2"/>
                <w:sz w:val="20"/>
                <w:szCs w:val="20"/>
              </w:rPr>
              <w:t xml:space="preserve">электроотопительными, электронагревательными </w:t>
            </w:r>
            <w:r>
              <w:rPr>
                <w:rFonts w:cs="Times New Roman" w:ascii="Times New Roman" w:hAnsi="Times New Roman"/>
                <w:sz w:val="20"/>
                <w:szCs w:val="20"/>
              </w:rPr>
              <w:t>установками для целей горячего водоснабжения</w:t>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137,9</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85,5</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66,2</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53,8</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46,9</w:t>
            </w:r>
          </w:p>
        </w:tc>
      </w:tr>
      <w:tr>
        <w:trPr>
          <w:trHeight w:val="275"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162,8</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100,9</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78,1</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63,5</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55,3</w:t>
            </w:r>
          </w:p>
        </w:tc>
      </w:tr>
      <w:tr>
        <w:trPr>
          <w:trHeight w:val="275"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177,9</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110,3</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85,4</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69,4</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60,5</w:t>
            </w:r>
          </w:p>
        </w:tc>
      </w:tr>
      <w:tr>
        <w:trPr>
          <w:trHeight w:val="820"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120"/>
              <w:jc w:val="center"/>
              <w:rPr>
                <w:rFonts w:ascii="Times New Roman" w:hAnsi="Times New Roman" w:cs="Times New Roman"/>
                <w:sz w:val="20"/>
                <w:szCs w:val="20"/>
              </w:rPr>
            </w:pPr>
            <w:r>
              <w:rPr>
                <w:rFonts w:cs="Times New Roman" w:ascii="Times New Roman" w:hAnsi="Times New Roman"/>
                <w:sz w:val="20"/>
                <w:szCs w:val="20"/>
              </w:rPr>
              <w:t>4 и более</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189,0</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117,2</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126"/>
              <w:jc w:val="center"/>
              <w:rPr>
                <w:rFonts w:ascii="Times New Roman" w:hAnsi="Times New Roman" w:cs="Times New Roman"/>
                <w:spacing w:val="-4"/>
                <w:sz w:val="20"/>
                <w:szCs w:val="20"/>
              </w:rPr>
            </w:pPr>
            <w:r>
              <w:rPr>
                <w:rFonts w:cs="Times New Roman" w:ascii="Times New Roman" w:hAnsi="Times New Roman"/>
                <w:spacing w:val="-4"/>
                <w:sz w:val="20"/>
                <w:szCs w:val="20"/>
              </w:rPr>
              <w:t>90,7</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73,7</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208"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64,2</w:t>
            </w:r>
          </w:p>
        </w:tc>
      </w:tr>
      <w:tr>
        <w:trPr>
          <w:trHeight w:val="428" w:hRule="atLeast"/>
        </w:trPr>
        <w:tc>
          <w:tcPr>
            <w:tcW w:w="58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19"/>
              <w:jc w:val="center"/>
              <w:rPr>
                <w:rFonts w:ascii="Times New Roman" w:hAnsi="Times New Roman" w:cs="Times New Roman"/>
                <w:spacing w:val="-6"/>
                <w:sz w:val="20"/>
                <w:szCs w:val="20"/>
              </w:rPr>
            </w:pPr>
            <w:r>
              <w:rPr>
                <w:rFonts w:cs="Times New Roman" w:ascii="Times New Roman" w:hAnsi="Times New Roman"/>
                <w:spacing w:val="-6"/>
                <w:sz w:val="20"/>
                <w:szCs w:val="20"/>
              </w:rPr>
              <w:t>4.</w:t>
            </w:r>
          </w:p>
        </w:tc>
        <w:tc>
          <w:tcPr>
            <w:tcW w:w="298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453"/>
              <w:jc w:val="both"/>
              <w:rPr>
                <w:rFonts w:ascii="Times New Roman" w:hAnsi="Times New Roman" w:cs="Times New Roman"/>
                <w:sz w:val="20"/>
                <w:szCs w:val="20"/>
              </w:rPr>
            </w:pPr>
            <w:r>
              <w:rPr>
                <w:rFonts w:cs="Times New Roman" w:ascii="Times New Roman" w:hAnsi="Times New Roman"/>
                <w:sz w:val="20"/>
                <w:szCs w:val="20"/>
              </w:rPr>
              <w:t xml:space="preserve">Жилые дома, оборудованные в установленном порядке </w:t>
            </w:r>
            <w:r>
              <w:rPr>
                <w:rFonts w:cs="Times New Roman" w:ascii="Times New Roman" w:hAnsi="Times New Roman"/>
                <w:spacing w:val="-2"/>
                <w:sz w:val="20"/>
                <w:szCs w:val="20"/>
              </w:rPr>
              <w:t xml:space="preserve">стационарными </w:t>
            </w:r>
            <w:r>
              <w:rPr>
                <w:rFonts w:cs="Times New Roman" w:ascii="Times New Roman" w:hAnsi="Times New Roman"/>
                <w:sz w:val="20"/>
                <w:szCs w:val="20"/>
              </w:rPr>
              <w:t xml:space="preserve">электроплитами для приготовления пищи и не </w:t>
            </w:r>
            <w:r>
              <w:rPr>
                <w:rFonts w:cs="Times New Roman" w:ascii="Times New Roman" w:hAnsi="Times New Roman"/>
                <w:spacing w:val="-2"/>
                <w:sz w:val="20"/>
                <w:szCs w:val="20"/>
              </w:rPr>
              <w:t xml:space="preserve">оборудованные </w:t>
            </w:r>
            <w:r>
              <w:rPr>
                <w:rFonts w:cs="Times New Roman" w:ascii="Times New Roman" w:hAnsi="Times New Roman"/>
                <w:sz w:val="20"/>
                <w:szCs w:val="20"/>
              </w:rPr>
              <w:t xml:space="preserve">электроотопительными и </w:t>
            </w:r>
            <w:r>
              <w:rPr>
                <w:rFonts w:cs="Times New Roman" w:ascii="Times New Roman" w:hAnsi="Times New Roman"/>
                <w:spacing w:val="-2"/>
                <w:sz w:val="20"/>
                <w:szCs w:val="20"/>
              </w:rPr>
              <w:t xml:space="preserve">электронагревательными </w:t>
            </w:r>
            <w:r>
              <w:rPr>
                <w:rFonts w:cs="Times New Roman" w:ascii="Times New Roman" w:hAnsi="Times New Roman"/>
                <w:sz w:val="20"/>
                <w:szCs w:val="20"/>
              </w:rPr>
              <w:t>установками для целей горячего водоснабжения</w:t>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z w:val="20"/>
                <w:szCs w:val="20"/>
              </w:rPr>
            </w:pPr>
            <w:r>
              <w:rPr>
                <w:rFonts w:cs="Times New Roman" w:ascii="Times New Roman" w:hAnsi="Times New Roman"/>
                <w:sz w:val="20"/>
                <w:szCs w:val="20"/>
              </w:rPr>
              <w:t>1</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241,3</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149,6</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115,8</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3"/>
              <w:jc w:val="center"/>
              <w:rPr>
                <w:rFonts w:ascii="Times New Roman" w:hAnsi="Times New Roman" w:cs="Times New Roman"/>
                <w:spacing w:val="-4"/>
                <w:sz w:val="20"/>
                <w:szCs w:val="20"/>
              </w:rPr>
            </w:pPr>
            <w:r>
              <w:rPr>
                <w:rFonts w:cs="Times New Roman" w:ascii="Times New Roman" w:hAnsi="Times New Roman"/>
                <w:spacing w:val="-4"/>
                <w:sz w:val="20"/>
                <w:szCs w:val="20"/>
              </w:rPr>
              <w:t>94,1</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82,0</w:t>
            </w:r>
          </w:p>
        </w:tc>
      </w:tr>
      <w:tr>
        <w:trPr>
          <w:trHeight w:val="275"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284,8</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176,5</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136,7</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2"/>
                <w:sz w:val="20"/>
                <w:szCs w:val="20"/>
              </w:rPr>
            </w:pPr>
            <w:r>
              <w:rPr>
                <w:rFonts w:cs="Times New Roman" w:ascii="Times New Roman" w:hAnsi="Times New Roman"/>
                <w:spacing w:val="-2"/>
                <w:sz w:val="20"/>
                <w:szCs w:val="20"/>
              </w:rPr>
              <w:t>111,1</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4"/>
                <w:sz w:val="20"/>
                <w:szCs w:val="20"/>
              </w:rPr>
            </w:pPr>
            <w:r>
              <w:rPr>
                <w:rFonts w:cs="Times New Roman" w:ascii="Times New Roman" w:hAnsi="Times New Roman"/>
                <w:spacing w:val="-4"/>
                <w:sz w:val="20"/>
                <w:szCs w:val="20"/>
              </w:rPr>
              <w:t>96,8</w:t>
            </w:r>
          </w:p>
        </w:tc>
      </w:tr>
      <w:tr>
        <w:trPr>
          <w:trHeight w:val="275"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4"/>
              <w:jc w:val="center"/>
              <w:rPr>
                <w:rFonts w:ascii="Times New Roman" w:hAnsi="Times New Roman" w:cs="Times New Roman"/>
                <w:spacing w:val="-2"/>
                <w:sz w:val="20"/>
                <w:szCs w:val="20"/>
              </w:rPr>
            </w:pPr>
            <w:r>
              <w:rPr>
                <w:rFonts w:cs="Times New Roman" w:ascii="Times New Roman" w:hAnsi="Times New Roman"/>
                <w:spacing w:val="-2"/>
                <w:sz w:val="20"/>
                <w:szCs w:val="20"/>
              </w:rPr>
              <w:t>311,3</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193,0</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6"/>
              <w:jc w:val="center"/>
              <w:rPr>
                <w:rFonts w:ascii="Times New Roman" w:hAnsi="Times New Roman" w:cs="Times New Roman"/>
                <w:spacing w:val="-2"/>
                <w:sz w:val="20"/>
                <w:szCs w:val="20"/>
              </w:rPr>
            </w:pPr>
            <w:r>
              <w:rPr>
                <w:rFonts w:cs="Times New Roman" w:ascii="Times New Roman" w:hAnsi="Times New Roman"/>
                <w:spacing w:val="-2"/>
                <w:sz w:val="20"/>
                <w:szCs w:val="20"/>
              </w:rPr>
              <w:t>149,4</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3"/>
              <w:jc w:val="center"/>
              <w:rPr>
                <w:rFonts w:ascii="Times New Roman" w:hAnsi="Times New Roman" w:cs="Times New Roman"/>
                <w:spacing w:val="-2"/>
                <w:sz w:val="20"/>
                <w:szCs w:val="20"/>
              </w:rPr>
            </w:pPr>
            <w:r>
              <w:rPr>
                <w:rFonts w:cs="Times New Roman" w:ascii="Times New Roman" w:hAnsi="Times New Roman"/>
                <w:spacing w:val="-2"/>
                <w:sz w:val="20"/>
                <w:szCs w:val="20"/>
              </w:rPr>
              <w:t>121,4</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7"/>
              <w:jc w:val="center"/>
              <w:rPr>
                <w:rFonts w:ascii="Times New Roman" w:hAnsi="Times New Roman" w:cs="Times New Roman"/>
                <w:spacing w:val="-2"/>
                <w:sz w:val="20"/>
                <w:szCs w:val="20"/>
              </w:rPr>
            </w:pPr>
            <w:r>
              <w:rPr>
                <w:rFonts w:cs="Times New Roman" w:ascii="Times New Roman" w:hAnsi="Times New Roman"/>
                <w:spacing w:val="-2"/>
                <w:sz w:val="20"/>
                <w:szCs w:val="20"/>
              </w:rPr>
              <w:t>105,8</w:t>
            </w:r>
          </w:p>
        </w:tc>
      </w:tr>
      <w:tr>
        <w:trPr>
          <w:trHeight w:val="2207" w:hRule="atLeast"/>
        </w:trPr>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98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7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z w:val="20"/>
                <w:szCs w:val="20"/>
              </w:rPr>
            </w:pPr>
            <w:r>
              <w:rPr>
                <w:rFonts w:cs="Times New Roman" w:ascii="Times New Roman" w:hAnsi="Times New Roman"/>
                <w:sz w:val="20"/>
                <w:szCs w:val="20"/>
              </w:rPr>
              <w:t>4 и более</w:t>
            </w:r>
          </w:p>
        </w:tc>
        <w:tc>
          <w:tcPr>
            <w:tcW w:w="86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330,6</w:t>
            </w:r>
          </w:p>
        </w:tc>
        <w:tc>
          <w:tcPr>
            <w:tcW w:w="8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205,0</w:t>
            </w:r>
          </w:p>
        </w:tc>
        <w:tc>
          <w:tcPr>
            <w:tcW w:w="68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158,7</w:t>
            </w:r>
          </w:p>
        </w:tc>
        <w:tc>
          <w:tcPr>
            <w:tcW w:w="7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128,9</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112,4</w:t>
            </w:r>
          </w:p>
        </w:tc>
      </w:tr>
      <w:tr>
        <w:trPr>
          <w:trHeight w:val="614" w:hRule="atLeast"/>
        </w:trPr>
        <w:tc>
          <w:tcPr>
            <w:tcW w:w="9387" w:type="dxa"/>
            <w:gridSpan w:val="11"/>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99"/>
              <w:jc w:val="center"/>
              <w:rPr>
                <w:rFonts w:ascii="Times New Roman" w:hAnsi="Times New Roman" w:cs="Times New Roman"/>
                <w:spacing w:val="-2"/>
                <w:sz w:val="20"/>
                <w:szCs w:val="20"/>
              </w:rPr>
            </w:pPr>
            <w:r>
              <w:rPr>
                <w:rFonts w:cs="Times New Roman" w:ascii="Times New Roman" w:hAnsi="Times New Roman"/>
                <w:sz w:val="20"/>
                <w:szCs w:val="20"/>
              </w:rPr>
              <w:t xml:space="preserve">Норматив потребления коммунальной услуги по электроснабжению в жилых помещениях в многоквартирных домах, включающих общежития квартирного типа, общежития коридорного, гостиничного и секционного типов, определенные с применением метода </w:t>
            </w:r>
            <w:r>
              <w:rPr>
                <w:rFonts w:cs="Times New Roman" w:ascii="Times New Roman" w:hAnsi="Times New Roman"/>
                <w:spacing w:val="-2"/>
                <w:sz w:val="20"/>
                <w:szCs w:val="20"/>
              </w:rPr>
              <w:t>аналогов</w:t>
            </w:r>
          </w:p>
        </w:tc>
      </w:tr>
      <w:tr>
        <w:trPr>
          <w:trHeight w:val="1815" w:hRule="atLeast"/>
        </w:trPr>
        <w:tc>
          <w:tcPr>
            <w:tcW w:w="5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19"/>
              <w:jc w:val="center"/>
              <w:rPr>
                <w:rFonts w:ascii="Times New Roman" w:hAnsi="Times New Roman" w:cs="Times New Roman"/>
                <w:spacing w:val="-6"/>
                <w:sz w:val="20"/>
                <w:szCs w:val="20"/>
              </w:rPr>
            </w:pPr>
            <w:r>
              <w:rPr>
                <w:rFonts w:cs="Times New Roman" w:ascii="Times New Roman" w:hAnsi="Times New Roman"/>
                <w:spacing w:val="-6"/>
                <w:sz w:val="20"/>
                <w:szCs w:val="20"/>
              </w:rPr>
              <w:t>5.</w:t>
            </w:r>
          </w:p>
        </w:tc>
        <w:tc>
          <w:tcPr>
            <w:tcW w:w="2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6"/>
              <w:jc w:val="both"/>
              <w:rPr>
                <w:rFonts w:ascii="Times New Roman" w:hAnsi="Times New Roman" w:cs="Times New Roman"/>
                <w:sz w:val="20"/>
                <w:szCs w:val="20"/>
              </w:rPr>
            </w:pPr>
            <w:r>
              <w:rPr>
                <w:rFonts w:cs="Times New Roman" w:ascii="Times New Roman" w:hAnsi="Times New Roman"/>
                <w:spacing w:val="-2"/>
                <w:sz w:val="20"/>
                <w:szCs w:val="20"/>
              </w:rPr>
              <w:t xml:space="preserve">Общежития, </w:t>
            </w:r>
            <w:r>
              <w:rPr>
                <w:rFonts w:cs="Times New Roman" w:ascii="Times New Roman" w:hAnsi="Times New Roman"/>
                <w:sz w:val="20"/>
                <w:szCs w:val="20"/>
              </w:rPr>
              <w:t xml:space="preserve">оборудованные в установленном порядке </w:t>
            </w:r>
            <w:r>
              <w:rPr>
                <w:rFonts w:cs="Times New Roman" w:ascii="Times New Roman" w:hAnsi="Times New Roman"/>
                <w:spacing w:val="-2"/>
                <w:sz w:val="20"/>
                <w:szCs w:val="20"/>
              </w:rPr>
              <w:t xml:space="preserve">стационарными </w:t>
            </w:r>
            <w:r>
              <w:rPr>
                <w:rFonts w:cs="Times New Roman" w:ascii="Times New Roman" w:hAnsi="Times New Roman"/>
                <w:sz w:val="20"/>
                <w:szCs w:val="20"/>
              </w:rPr>
              <w:t xml:space="preserve">электроплитами для приготовления пищи и не </w:t>
            </w:r>
            <w:r>
              <w:rPr>
                <w:rFonts w:cs="Times New Roman" w:ascii="Times New Roman" w:hAnsi="Times New Roman"/>
                <w:spacing w:val="-2"/>
                <w:sz w:val="20"/>
                <w:szCs w:val="20"/>
              </w:rPr>
              <w:t xml:space="preserve">оборудованные </w:t>
            </w:r>
            <w:r>
              <w:rPr>
                <w:rFonts w:cs="Times New Roman" w:ascii="Times New Roman" w:hAnsi="Times New Roman"/>
                <w:sz w:val="20"/>
                <w:szCs w:val="20"/>
              </w:rPr>
              <w:t xml:space="preserve">электроотопительными и </w:t>
            </w:r>
            <w:r>
              <w:rPr>
                <w:rFonts w:cs="Times New Roman" w:ascii="Times New Roman" w:hAnsi="Times New Roman"/>
                <w:spacing w:val="-2"/>
                <w:sz w:val="20"/>
                <w:szCs w:val="20"/>
              </w:rPr>
              <w:t xml:space="preserve">электронагревательными </w:t>
            </w:r>
            <w:r>
              <w:rPr>
                <w:rFonts w:cs="Times New Roman" w:ascii="Times New Roman" w:hAnsi="Times New Roman"/>
                <w:sz w:val="20"/>
                <w:szCs w:val="20"/>
              </w:rPr>
              <w:t>установками для целей</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горячего водоснабжения</w:t>
            </w:r>
          </w:p>
        </w:tc>
        <w:tc>
          <w:tcPr>
            <w:tcW w:w="18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559"/>
              <w:jc w:val="center"/>
              <w:rPr>
                <w:rFonts w:ascii="Times New Roman" w:hAnsi="Times New Roman" w:cs="Times New Roman"/>
                <w:spacing w:val="-2"/>
                <w:sz w:val="20"/>
                <w:szCs w:val="20"/>
              </w:rPr>
            </w:pPr>
            <w:r>
              <w:rPr>
                <w:rFonts w:cs="Times New Roman" w:ascii="Times New Roman" w:hAnsi="Times New Roman"/>
                <w:spacing w:val="-2"/>
                <w:sz w:val="20"/>
                <w:szCs w:val="20"/>
              </w:rPr>
              <w:t>127,0</w:t>
            </w:r>
          </w:p>
        </w:tc>
        <w:tc>
          <w:tcPr>
            <w:tcW w:w="105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4"/>
                <w:sz w:val="20"/>
                <w:szCs w:val="20"/>
              </w:rPr>
            </w:pPr>
            <w:r>
              <w:rPr>
                <w:rFonts w:cs="Times New Roman" w:ascii="Times New Roman" w:hAnsi="Times New Roman"/>
                <w:spacing w:val="-4"/>
                <w:sz w:val="20"/>
                <w:szCs w:val="20"/>
              </w:rPr>
              <w:t>78,7</w:t>
            </w:r>
          </w:p>
        </w:tc>
        <w:tc>
          <w:tcPr>
            <w:tcW w:w="104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4"/>
                <w:sz w:val="20"/>
                <w:szCs w:val="20"/>
              </w:rPr>
            </w:pPr>
            <w:r>
              <w:rPr>
                <w:rFonts w:cs="Times New Roman" w:ascii="Times New Roman" w:hAnsi="Times New Roman"/>
                <w:spacing w:val="-4"/>
                <w:sz w:val="20"/>
                <w:szCs w:val="20"/>
              </w:rPr>
              <w:t>61,0</w:t>
            </w:r>
          </w:p>
        </w:tc>
        <w:tc>
          <w:tcPr>
            <w:tcW w:w="86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4"/>
                <w:sz w:val="20"/>
                <w:szCs w:val="20"/>
              </w:rPr>
            </w:pPr>
            <w:r>
              <w:rPr>
                <w:rFonts w:cs="Times New Roman" w:ascii="Times New Roman" w:hAnsi="Times New Roman"/>
                <w:spacing w:val="-4"/>
                <w:sz w:val="20"/>
                <w:szCs w:val="20"/>
              </w:rPr>
              <w:t>49,5</w:t>
            </w:r>
          </w:p>
        </w:tc>
        <w:tc>
          <w:tcPr>
            <w:tcW w:w="9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504"/>
              <w:jc w:val="center"/>
              <w:rPr>
                <w:rFonts w:ascii="Times New Roman" w:hAnsi="Times New Roman" w:cs="Times New Roman"/>
                <w:spacing w:val="-4"/>
                <w:sz w:val="20"/>
                <w:szCs w:val="20"/>
              </w:rPr>
            </w:pPr>
            <w:r>
              <w:rPr>
                <w:rFonts w:cs="Times New Roman" w:ascii="Times New Roman" w:hAnsi="Times New Roman"/>
                <w:spacing w:val="-4"/>
                <w:sz w:val="20"/>
                <w:szCs w:val="20"/>
              </w:rPr>
              <w:t>43,2</w:t>
            </w:r>
          </w:p>
        </w:tc>
      </w:tr>
    </w:tbl>
    <w:p>
      <w:pPr>
        <w:pStyle w:val="NormalWeb"/>
        <w:shd w:val="clear" w:color="auto" w:fill="FFFFFF"/>
        <w:spacing w:before="0" w:after="0"/>
        <w:ind w:firstLine="567"/>
        <w:jc w:val="both"/>
        <w:rPr/>
      </w:pPr>
      <w:r>
        <w:rPr>
          <w:rStyle w:val="Strong"/>
          <w:b w:val="false"/>
        </w:rPr>
        <w:t xml:space="preserve">Нормативы потребления коммунальных услуг по холодному и горячему водоснабжению и водоотведению </w:t>
      </w:r>
      <w:r>
        <w:rPr/>
        <w:t>утверждены Приказом министерства ЖКХ СК от 16.05.2013 № 131-о/д.</w:t>
      </w:r>
    </w:p>
    <w:p>
      <w:pPr>
        <w:pStyle w:val="NormalWeb"/>
        <w:shd w:val="clear" w:color="auto" w:fill="FFFFFF"/>
        <w:spacing w:before="0" w:after="0"/>
        <w:ind w:firstLine="567"/>
        <w:jc w:val="both"/>
        <w:rPr/>
      </w:pPr>
      <w:r>
        <w:rPr>
          <w:rStyle w:val="Strong"/>
          <w:b w:val="false"/>
        </w:rPr>
        <w:t xml:space="preserve">Нормативы потребления холодной воды, горячей воды, отведения сточных вод в целях содержания общего имущества в многоквартирном доме </w:t>
      </w:r>
      <w:r>
        <w:rPr/>
        <w:t>утверждены Приказом министерства ЖКХ СК от 29.05.2017 № 162. В 2024 году в этот приказ вносились изменения Приказом от 05.09.2024 № 717.</w:t>
      </w:r>
    </w:p>
    <w:p>
      <w:pPr>
        <w:pStyle w:val="Normal"/>
        <w:spacing w:lineRule="auto" w:line="240" w:before="0" w:after="0"/>
        <w:ind w:firstLine="567"/>
        <w:jc w:val="right"/>
        <w:rPr>
          <w:rFonts w:ascii="Times New Roman" w:hAnsi="Times New Roman" w:cs="Times New Roman"/>
          <w:sz w:val="24"/>
          <w:szCs w:val="24"/>
        </w:rPr>
      </w:pPr>
      <w:r>
        <w:rPr>
          <w:rFonts w:cs="Times New Roman" w:ascii="Times New Roman" w:hAnsi="Times New Roman"/>
          <w:sz w:val="24"/>
          <w:szCs w:val="24"/>
        </w:rPr>
        <w:t>Таблица 22.</w:t>
      </w:r>
    </w:p>
    <w:p>
      <w:pPr>
        <w:pStyle w:val="Normal"/>
        <w:spacing w:lineRule="auto" w:line="240" w:before="0" w:after="0"/>
        <w:ind w:firstLine="567"/>
        <w:jc w:val="center"/>
        <w:rPr>
          <w:rFonts w:ascii="Times New Roman" w:hAnsi="Times New Roman" w:cs="Times New Roman"/>
          <w:sz w:val="24"/>
          <w:szCs w:val="24"/>
        </w:rPr>
      </w:pPr>
      <w:r>
        <w:rPr>
          <w:rFonts w:cs="Times New Roman" w:ascii="Times New Roman" w:hAnsi="Times New Roman"/>
          <w:sz w:val="24"/>
          <w:szCs w:val="24"/>
        </w:rPr>
        <w:t>Нормы потребления водоснабжения для населения Туркменского муниципального округа Ставропольского края (куб. метр в месяц на человека)</w:t>
      </w:r>
    </w:p>
    <w:tbl>
      <w:tblPr>
        <w:tblW w:w="9530" w:type="dxa"/>
        <w:jc w:val="left"/>
        <w:tblInd w:w="134" w:type="dxa"/>
        <w:tblLayout w:type="fixed"/>
        <w:tblCellMar>
          <w:top w:w="0" w:type="dxa"/>
          <w:left w:w="5" w:type="dxa"/>
          <w:bottom w:w="0" w:type="dxa"/>
          <w:right w:w="5" w:type="dxa"/>
        </w:tblCellMar>
        <w:tblLook w:val="04a0"/>
      </w:tblPr>
      <w:tblGrid>
        <w:gridCol w:w="588"/>
        <w:gridCol w:w="2420"/>
        <w:gridCol w:w="1417"/>
        <w:gridCol w:w="1418"/>
        <w:gridCol w:w="1134"/>
        <w:gridCol w:w="1134"/>
        <w:gridCol w:w="1418"/>
      </w:tblGrid>
      <w:tr>
        <w:trPr>
          <w:trHeight w:val="719" w:hRule="atLeast"/>
        </w:trPr>
        <w:tc>
          <w:tcPr>
            <w:tcW w:w="58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8"/>
              <w:jc w:val="center"/>
              <w:rPr>
                <w:rFonts w:ascii="Times New Roman" w:hAnsi="Times New Roman" w:cs="Times New Roman"/>
                <w:sz w:val="20"/>
                <w:szCs w:val="20"/>
              </w:rPr>
            </w:pPr>
            <w:r>
              <w:rPr>
                <w:rFonts w:cs="Times New Roman" w:ascii="Times New Roman" w:hAnsi="Times New Roman"/>
                <w:sz w:val="20"/>
                <w:szCs w:val="20"/>
              </w:rPr>
              <w:t>№</w:t>
            </w:r>
          </w:p>
          <w:p>
            <w:pPr>
              <w:pStyle w:val="Normal"/>
              <w:spacing w:lineRule="auto" w:line="240" w:before="0" w:after="0"/>
              <w:ind w:right="-58"/>
              <w:jc w:val="center"/>
              <w:rPr>
                <w:rFonts w:ascii="Times New Roman" w:hAnsi="Times New Roman" w:cs="Times New Roman"/>
                <w:sz w:val="20"/>
                <w:szCs w:val="20"/>
              </w:rPr>
            </w:pPr>
            <w:r>
              <w:rPr>
                <w:rFonts w:cs="Times New Roman" w:ascii="Times New Roman" w:hAnsi="Times New Roman"/>
                <w:sz w:val="20"/>
                <w:szCs w:val="20"/>
              </w:rPr>
              <w:t>п/п</w:t>
            </w:r>
          </w:p>
        </w:tc>
        <w:tc>
          <w:tcPr>
            <w:tcW w:w="242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8"/>
              <w:jc w:val="center"/>
              <w:rPr>
                <w:rFonts w:ascii="Times New Roman" w:hAnsi="Times New Roman" w:cs="Times New Roman"/>
                <w:spacing w:val="-2"/>
                <w:sz w:val="20"/>
                <w:szCs w:val="20"/>
              </w:rPr>
            </w:pPr>
            <w:r>
              <w:rPr>
                <w:rFonts w:cs="Times New Roman" w:ascii="Times New Roman" w:hAnsi="Times New Roman"/>
                <w:sz w:val="20"/>
                <w:szCs w:val="20"/>
              </w:rPr>
              <w:t xml:space="preserve">Категория жилых </w:t>
            </w:r>
            <w:r>
              <w:rPr>
                <w:rFonts w:cs="Times New Roman" w:ascii="Times New Roman" w:hAnsi="Times New Roman"/>
                <w:spacing w:val="-2"/>
                <w:sz w:val="20"/>
                <w:szCs w:val="20"/>
              </w:rPr>
              <w:t>помещений</w:t>
            </w:r>
          </w:p>
        </w:tc>
        <w:tc>
          <w:tcPr>
            <w:tcW w:w="283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5"/>
              <w:jc w:val="center"/>
              <w:rPr>
                <w:rFonts w:ascii="Times New Roman" w:hAnsi="Times New Roman" w:cs="Times New Roman"/>
                <w:spacing w:val="-2"/>
                <w:sz w:val="20"/>
                <w:szCs w:val="20"/>
              </w:rPr>
            </w:pPr>
            <w:r>
              <w:rPr>
                <w:rFonts w:cs="Times New Roman" w:ascii="Times New Roman" w:hAnsi="Times New Roman"/>
                <w:spacing w:val="-2"/>
                <w:sz w:val="20"/>
                <w:szCs w:val="20"/>
              </w:rPr>
              <w:t xml:space="preserve">Норматив потребления </w:t>
            </w:r>
            <w:r>
              <w:rPr>
                <w:rFonts w:cs="Times New Roman" w:ascii="Times New Roman" w:hAnsi="Times New Roman"/>
                <w:sz w:val="20"/>
                <w:szCs w:val="20"/>
              </w:rPr>
              <w:t xml:space="preserve">коммунальной услуги </w:t>
            </w:r>
            <w:r>
              <w:rPr>
                <w:rFonts w:cs="Times New Roman" w:ascii="Times New Roman" w:hAnsi="Times New Roman"/>
                <w:spacing w:val="-2"/>
                <w:sz w:val="20"/>
                <w:szCs w:val="20"/>
              </w:rPr>
              <w:t>холодного</w:t>
            </w:r>
          </w:p>
          <w:p>
            <w:pPr>
              <w:pStyle w:val="Normal"/>
              <w:spacing w:lineRule="auto" w:line="240" w:before="0" w:after="0"/>
              <w:ind w:right="514"/>
              <w:jc w:val="center"/>
              <w:rPr>
                <w:rFonts w:ascii="Times New Roman" w:hAnsi="Times New Roman" w:cs="Times New Roman"/>
                <w:spacing w:val="-2"/>
                <w:sz w:val="20"/>
                <w:szCs w:val="20"/>
              </w:rPr>
            </w:pPr>
            <w:r>
              <w:rPr>
                <w:rFonts w:cs="Times New Roman" w:ascii="Times New Roman" w:hAnsi="Times New Roman"/>
                <w:spacing w:val="-2"/>
                <w:sz w:val="20"/>
                <w:szCs w:val="20"/>
              </w:rPr>
              <w:t>водоснабжения</w:t>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2"/>
              <w:jc w:val="center"/>
              <w:rPr>
                <w:rFonts w:ascii="Times New Roman" w:hAnsi="Times New Roman" w:cs="Times New Roman"/>
                <w:spacing w:val="-2"/>
                <w:sz w:val="20"/>
                <w:szCs w:val="20"/>
              </w:rPr>
            </w:pPr>
            <w:r>
              <w:rPr>
                <w:rFonts w:cs="Times New Roman" w:ascii="Times New Roman" w:hAnsi="Times New Roman"/>
                <w:spacing w:val="-2"/>
                <w:sz w:val="20"/>
                <w:szCs w:val="20"/>
              </w:rPr>
              <w:t xml:space="preserve">Норматив потребления </w:t>
            </w:r>
            <w:r>
              <w:rPr>
                <w:rFonts w:cs="Times New Roman" w:ascii="Times New Roman" w:hAnsi="Times New Roman"/>
                <w:sz w:val="20"/>
                <w:szCs w:val="20"/>
              </w:rPr>
              <w:t xml:space="preserve">коммунальной услуги </w:t>
            </w:r>
            <w:r>
              <w:rPr>
                <w:rFonts w:cs="Times New Roman" w:ascii="Times New Roman" w:hAnsi="Times New Roman"/>
                <w:spacing w:val="-2"/>
                <w:sz w:val="20"/>
                <w:szCs w:val="20"/>
              </w:rPr>
              <w:t>горячего</w:t>
            </w:r>
          </w:p>
          <w:p>
            <w:pPr>
              <w:pStyle w:val="Normal"/>
              <w:spacing w:lineRule="auto" w:line="240" w:before="0" w:after="0"/>
              <w:ind w:right="510"/>
              <w:jc w:val="center"/>
              <w:rPr>
                <w:rFonts w:ascii="Times New Roman" w:hAnsi="Times New Roman" w:cs="Times New Roman"/>
                <w:spacing w:val="-2"/>
                <w:sz w:val="20"/>
                <w:szCs w:val="20"/>
              </w:rPr>
            </w:pPr>
            <w:r>
              <w:rPr>
                <w:rFonts w:cs="Times New Roman" w:ascii="Times New Roman" w:hAnsi="Times New Roman"/>
                <w:spacing w:val="-2"/>
                <w:sz w:val="20"/>
                <w:szCs w:val="20"/>
              </w:rPr>
              <w:t>водоснабжения</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Водоотведение</w:t>
            </w:r>
          </w:p>
        </w:tc>
      </w:tr>
      <w:tr>
        <w:trPr>
          <w:trHeight w:val="305" w:hRule="atLeast"/>
        </w:trPr>
        <w:tc>
          <w:tcPr>
            <w:tcW w:w="58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42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Расчетный</w:t>
            </w:r>
          </w:p>
          <w:p>
            <w:pPr>
              <w:pStyle w:val="Normal"/>
              <w:spacing w:lineRule="auto" w:line="240" w:before="0" w:after="0"/>
              <w:ind w:right="117"/>
              <w:jc w:val="center"/>
              <w:rPr>
                <w:rFonts w:ascii="Times New Roman" w:hAnsi="Times New Roman" w:cs="Times New Roman"/>
                <w:spacing w:val="-2"/>
                <w:sz w:val="20"/>
                <w:szCs w:val="20"/>
              </w:rPr>
            </w:pPr>
            <w:r>
              <w:rPr>
                <w:rFonts w:cs="Times New Roman" w:ascii="Times New Roman" w:hAnsi="Times New Roman"/>
                <w:spacing w:val="-2"/>
                <w:sz w:val="20"/>
                <w:szCs w:val="20"/>
              </w:rPr>
              <w:t>метод</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6"/>
              <w:jc w:val="center"/>
              <w:rPr>
                <w:rFonts w:ascii="Times New Roman" w:hAnsi="Times New Roman" w:cs="Times New Roman"/>
                <w:spacing w:val="-2"/>
                <w:sz w:val="20"/>
                <w:szCs w:val="20"/>
              </w:rPr>
            </w:pPr>
            <w:r>
              <w:rPr>
                <w:rFonts w:cs="Times New Roman" w:ascii="Times New Roman" w:hAnsi="Times New Roman"/>
                <w:spacing w:val="-2"/>
                <w:sz w:val="20"/>
                <w:szCs w:val="20"/>
              </w:rPr>
              <w:t>Метод</w:t>
            </w:r>
          </w:p>
          <w:p>
            <w:pPr>
              <w:pStyle w:val="Normal"/>
              <w:spacing w:lineRule="auto" w:line="240" w:before="0" w:after="0"/>
              <w:ind w:right="116"/>
              <w:jc w:val="center"/>
              <w:rPr>
                <w:rFonts w:ascii="Times New Roman" w:hAnsi="Times New Roman" w:cs="Times New Roman"/>
                <w:spacing w:val="-2"/>
                <w:sz w:val="20"/>
                <w:szCs w:val="20"/>
              </w:rPr>
            </w:pPr>
            <w:r>
              <w:rPr>
                <w:rFonts w:cs="Times New Roman" w:ascii="Times New Roman" w:hAnsi="Times New Roman"/>
                <w:spacing w:val="-2"/>
                <w:sz w:val="20"/>
                <w:szCs w:val="20"/>
              </w:rPr>
              <w:t>аналогов</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2"/>
                <w:sz w:val="20"/>
                <w:szCs w:val="20"/>
              </w:rPr>
            </w:pPr>
            <w:r>
              <w:rPr>
                <w:rFonts w:cs="Times New Roman" w:ascii="Times New Roman" w:hAnsi="Times New Roman"/>
                <w:spacing w:val="-2"/>
                <w:sz w:val="20"/>
                <w:szCs w:val="20"/>
              </w:rPr>
              <w:t>Расчетный</w:t>
            </w:r>
          </w:p>
          <w:p>
            <w:pPr>
              <w:pStyle w:val="Normal"/>
              <w:spacing w:lineRule="auto" w:line="240" w:before="0" w:after="0"/>
              <w:ind w:right="118"/>
              <w:jc w:val="center"/>
              <w:rPr>
                <w:rFonts w:ascii="Times New Roman" w:hAnsi="Times New Roman" w:cs="Times New Roman"/>
                <w:spacing w:val="-2"/>
                <w:sz w:val="20"/>
                <w:szCs w:val="20"/>
              </w:rPr>
            </w:pPr>
            <w:r>
              <w:rPr>
                <w:rFonts w:cs="Times New Roman" w:ascii="Times New Roman" w:hAnsi="Times New Roman"/>
                <w:spacing w:val="-2"/>
                <w:sz w:val="20"/>
                <w:szCs w:val="20"/>
              </w:rPr>
              <w:t>метод</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Метод</w:t>
            </w:r>
          </w:p>
          <w:p>
            <w:pPr>
              <w:pStyle w:val="Normal"/>
              <w:spacing w:lineRule="auto" w:line="240" w:before="0" w:after="0"/>
              <w:ind w:right="113"/>
              <w:jc w:val="center"/>
              <w:rPr>
                <w:rFonts w:ascii="Times New Roman" w:hAnsi="Times New Roman" w:cs="Times New Roman"/>
                <w:spacing w:val="-2"/>
                <w:sz w:val="20"/>
                <w:szCs w:val="20"/>
              </w:rPr>
            </w:pPr>
            <w:r>
              <w:rPr>
                <w:rFonts w:cs="Times New Roman" w:ascii="Times New Roman" w:hAnsi="Times New Roman"/>
                <w:spacing w:val="-2"/>
                <w:sz w:val="20"/>
                <w:szCs w:val="20"/>
              </w:rPr>
              <w:t>аналогов</w:t>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1871"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7"/>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оборудованные унитазами, раковинами, </w:t>
            </w:r>
            <w:r>
              <w:rPr>
                <w:rFonts w:cs="Times New Roman" w:ascii="Times New Roman" w:hAnsi="Times New Roman"/>
                <w:sz w:val="20"/>
                <w:szCs w:val="20"/>
              </w:rPr>
              <w:t>мойками, ваннами сидячими длиной 1200 мм с 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7"/>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3"/>
              <w:jc w:val="center"/>
              <w:rPr>
                <w:rFonts w:ascii="Times New Roman" w:hAnsi="Times New Roman" w:cs="Times New Roman"/>
                <w:spacing w:val="-4"/>
                <w:sz w:val="20"/>
                <w:szCs w:val="20"/>
              </w:rPr>
            </w:pPr>
            <w:r>
              <w:rPr>
                <w:rFonts w:cs="Times New Roman" w:ascii="Times New Roman" w:hAnsi="Times New Roman"/>
                <w:spacing w:val="-4"/>
                <w:sz w:val="20"/>
                <w:szCs w:val="20"/>
              </w:rPr>
              <w:t>1,4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7,4</w:t>
            </w:r>
          </w:p>
        </w:tc>
      </w:tr>
      <w:tr>
        <w:trPr>
          <w:trHeight w:val="168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7"/>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оборудованные унитазами, раковинами, </w:t>
            </w:r>
            <w:r>
              <w:rPr>
                <w:rFonts w:cs="Times New Roman" w:ascii="Times New Roman" w:hAnsi="Times New Roman"/>
                <w:sz w:val="20"/>
                <w:szCs w:val="20"/>
              </w:rPr>
              <w:t>мойками, ваннами длиной 1500–1550 мм с 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7"/>
              <w:jc w:val="center"/>
              <w:rPr>
                <w:rFonts w:ascii="Times New Roman" w:hAnsi="Times New Roman" w:cs="Times New Roman"/>
                <w:spacing w:val="-4"/>
                <w:sz w:val="20"/>
                <w:szCs w:val="20"/>
              </w:rPr>
            </w:pPr>
            <w:r>
              <w:rPr>
                <w:rFonts w:cs="Times New Roman" w:ascii="Times New Roman" w:hAnsi="Times New Roman"/>
                <w:spacing w:val="-4"/>
                <w:sz w:val="20"/>
                <w:szCs w:val="20"/>
              </w:rPr>
              <w:t>4,4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7,5</w:t>
            </w:r>
          </w:p>
        </w:tc>
      </w:tr>
      <w:tr>
        <w:trPr>
          <w:trHeight w:val="184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3.</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98"/>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оборудованные унитазами, раковинами, </w:t>
            </w:r>
            <w:r>
              <w:rPr>
                <w:rFonts w:cs="Times New Roman" w:ascii="Times New Roman" w:hAnsi="Times New Roman"/>
                <w:sz w:val="20"/>
                <w:szCs w:val="20"/>
              </w:rPr>
              <w:t>мойками, ваннами длиной 1650-1700 мм с 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4,4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3,2</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7,6</w:t>
            </w:r>
          </w:p>
        </w:tc>
      </w:tr>
      <w:tr>
        <w:trPr>
          <w:trHeight w:val="1562"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4.</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4"/>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оборудованные унитазами, раковинами, </w:t>
            </w:r>
            <w:r>
              <w:rPr>
                <w:rFonts w:cs="Times New Roman" w:ascii="Times New Roman" w:hAnsi="Times New Roman"/>
                <w:sz w:val="20"/>
                <w:szCs w:val="20"/>
              </w:rPr>
              <w:t>мойками, ваннами без душа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1,6</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4,7</w:t>
            </w:r>
          </w:p>
        </w:tc>
      </w:tr>
      <w:tr>
        <w:trPr>
          <w:trHeight w:val="158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5.</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4"/>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оборудованные унитазами, раковинами, </w:t>
            </w:r>
            <w:r>
              <w:rPr>
                <w:rFonts w:cs="Times New Roman" w:ascii="Times New Roman" w:hAnsi="Times New Roman"/>
                <w:sz w:val="20"/>
                <w:szCs w:val="20"/>
              </w:rPr>
              <w:t>мойками, 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4"/>
                <w:sz w:val="20"/>
                <w:szCs w:val="20"/>
              </w:rPr>
            </w:pPr>
            <w:r>
              <w:rPr>
                <w:rFonts w:cs="Times New Roman" w:ascii="Times New Roman" w:hAnsi="Times New Roman"/>
                <w:spacing w:val="-4"/>
                <w:sz w:val="20"/>
                <w:szCs w:val="20"/>
              </w:rPr>
              <w:t>3,9</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2,5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6,4</w:t>
            </w:r>
          </w:p>
        </w:tc>
      </w:tr>
      <w:tr>
        <w:trPr>
          <w:trHeight w:val="1764"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6.</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холодным водоснабжением, водонагревателями, водоотведением, оборудованные унитазами, раковинами, </w:t>
            </w:r>
            <w:r>
              <w:rPr>
                <w:rFonts w:cs="Times New Roman" w:ascii="Times New Roman" w:hAnsi="Times New Roman"/>
                <w:sz w:val="20"/>
                <w:szCs w:val="20"/>
              </w:rPr>
              <w:t xml:space="preserve">мойками, душами и ваннами сидячими длиной1200ммс </w:t>
            </w:r>
            <w:r>
              <w:rPr>
                <w:rFonts w:cs="Times New Roman" w:ascii="Times New Roman" w:hAnsi="Times New Roman"/>
                <w:spacing w:val="-2"/>
                <w:sz w:val="20"/>
                <w:szCs w:val="20"/>
              </w:rPr>
              <w:t>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7,4</w:t>
            </w:r>
          </w:p>
        </w:tc>
      </w:tr>
      <w:tr>
        <w:trPr>
          <w:trHeight w:val="1877"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7.</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холодным водоснабжением, водонагревателями, водоотведением, оборудованные унитазами, раковинами, </w:t>
            </w:r>
            <w:r>
              <w:rPr>
                <w:rFonts w:cs="Times New Roman" w:ascii="Times New Roman" w:hAnsi="Times New Roman"/>
                <w:sz w:val="20"/>
                <w:szCs w:val="20"/>
              </w:rPr>
              <w:t xml:space="preserve">мойками, душами и ваннами длиной 1500 - 1550 мм с </w:t>
            </w:r>
            <w:r>
              <w:rPr>
                <w:rFonts w:cs="Times New Roman" w:ascii="Times New Roman" w:hAnsi="Times New Roman"/>
                <w:spacing w:val="-2"/>
                <w:sz w:val="20"/>
                <w:szCs w:val="20"/>
              </w:rPr>
              <w:t>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7"/>
              <w:jc w:val="center"/>
              <w:rPr>
                <w:rFonts w:ascii="Times New Roman" w:hAnsi="Times New Roman" w:cs="Times New Roman"/>
                <w:spacing w:val="-4"/>
                <w:sz w:val="20"/>
                <w:szCs w:val="20"/>
              </w:rPr>
            </w:pPr>
            <w:r>
              <w:rPr>
                <w:rFonts w:cs="Times New Roman" w:ascii="Times New Roman" w:hAnsi="Times New Roman"/>
                <w:spacing w:val="-4"/>
                <w:sz w:val="20"/>
                <w:szCs w:val="20"/>
              </w:rPr>
              <w:t>7,5</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7,5</w:t>
            </w:r>
          </w:p>
        </w:tc>
      </w:tr>
      <w:tr>
        <w:trPr>
          <w:trHeight w:val="414"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8.</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холодным водоснабжением, водонагревателями, водоотведением, оборудованные унитазами, раковинами, </w:t>
            </w:r>
            <w:r>
              <w:rPr>
                <w:rFonts w:cs="Times New Roman" w:ascii="Times New Roman" w:hAnsi="Times New Roman"/>
                <w:sz w:val="20"/>
                <w:szCs w:val="20"/>
              </w:rPr>
              <w:t xml:space="preserve">мойками, душами и ваннами длиной 1650 - 1700 мм с </w:t>
            </w:r>
            <w:r>
              <w:rPr>
                <w:rFonts w:cs="Times New Roman" w:ascii="Times New Roman" w:hAnsi="Times New Roman"/>
                <w:spacing w:val="-2"/>
                <w:sz w:val="20"/>
                <w:szCs w:val="20"/>
              </w:rPr>
              <w:t>душем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7,6</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7,6</w:t>
            </w:r>
          </w:p>
        </w:tc>
      </w:tr>
      <w:tr>
        <w:trPr>
          <w:trHeight w:val="1647"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6"/>
                <w:sz w:val="20"/>
                <w:szCs w:val="20"/>
              </w:rPr>
            </w:pPr>
            <w:r>
              <w:rPr>
                <w:rFonts w:cs="Times New Roman" w:ascii="Times New Roman" w:hAnsi="Times New Roman"/>
                <w:spacing w:val="-6"/>
                <w:sz w:val="20"/>
                <w:szCs w:val="20"/>
              </w:rPr>
              <w:t>9.</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 xml:space="preserve">централизованным холодным водоснабжением, водонагревателями, водоотведением, оборудованные унитазами, раковинами, </w:t>
            </w:r>
            <w:r>
              <w:rPr>
                <w:rFonts w:cs="Times New Roman" w:ascii="Times New Roman" w:hAnsi="Times New Roman"/>
                <w:sz w:val="20"/>
                <w:szCs w:val="20"/>
              </w:rPr>
              <w:t>мойками, душами и ваннами без душа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7,2</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7,2</w:t>
            </w:r>
          </w:p>
        </w:tc>
      </w:tr>
      <w:tr>
        <w:trPr>
          <w:trHeight w:val="1699"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10.</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z w:val="20"/>
                <w:szCs w:val="20"/>
              </w:rPr>
            </w:pPr>
            <w:r>
              <w:rPr>
                <w:rFonts w:cs="Times New Roman" w:ascii="Times New Roman" w:hAnsi="Times New Roman"/>
                <w:spacing w:val="-2"/>
                <w:sz w:val="20"/>
                <w:szCs w:val="20"/>
              </w:rPr>
              <w:t>Многоквартирные</w:t>
            </w:r>
            <w:r>
              <w:rPr>
                <w:rFonts w:cs="Times New Roman" w:ascii="Times New Roman" w:hAnsi="Times New Roman"/>
                <w:sz w:val="20"/>
                <w:szCs w:val="20"/>
              </w:rPr>
              <w:t xml:space="preserve"> и жилые дома с </w:t>
            </w:r>
            <w:r>
              <w:rPr>
                <w:rFonts w:cs="Times New Roman" w:ascii="Times New Roman" w:hAnsi="Times New Roman"/>
                <w:spacing w:val="-2"/>
                <w:sz w:val="20"/>
                <w:szCs w:val="20"/>
              </w:rPr>
              <w:t xml:space="preserve">централизованным холодным водоснабжением, водонагревателями, водоотведением, оборудованные унитазами, раковинами, </w:t>
            </w:r>
            <w:r>
              <w:rPr>
                <w:rFonts w:cs="Times New Roman" w:ascii="Times New Roman" w:hAnsi="Times New Roman"/>
                <w:sz w:val="20"/>
                <w:szCs w:val="20"/>
              </w:rPr>
              <w:t>мойками, душами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6,4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6,4</w:t>
            </w:r>
          </w:p>
        </w:tc>
      </w:tr>
      <w:tr>
        <w:trPr>
          <w:trHeight w:val="1420"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11.</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6"/>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дома без водонагревателей с водопроводами </w:t>
            </w:r>
            <w:r>
              <w:rPr>
                <w:rFonts w:cs="Times New Roman" w:ascii="Times New Roman" w:hAnsi="Times New Roman"/>
                <w:spacing w:val="-2"/>
                <w:sz w:val="20"/>
                <w:szCs w:val="20"/>
              </w:rPr>
              <w:t xml:space="preserve">канализацией, оборудованные раковинами, </w:t>
            </w:r>
            <w:r>
              <w:rPr>
                <w:rFonts w:cs="Times New Roman" w:ascii="Times New Roman" w:hAnsi="Times New Roman"/>
                <w:sz w:val="20"/>
                <w:szCs w:val="20"/>
              </w:rPr>
              <w:t xml:space="preserve">мойками и </w:t>
            </w:r>
            <w:r>
              <w:rPr>
                <w:rFonts w:cs="Times New Roman" w:ascii="Times New Roman" w:hAnsi="Times New Roman"/>
                <w:spacing w:val="-2"/>
                <w:sz w:val="20"/>
                <w:szCs w:val="20"/>
              </w:rPr>
              <w:t>унитазами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3,9</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3,9</w:t>
            </w:r>
          </w:p>
        </w:tc>
      </w:tr>
      <w:tr>
        <w:trPr>
          <w:trHeight w:val="1278"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6"/>
              <w:jc w:val="both"/>
              <w:rPr>
                <w:rFonts w:ascii="Times New Roman" w:hAnsi="Times New Roman" w:cs="Times New Roman"/>
                <w:spacing w:val="-2"/>
                <w:sz w:val="20"/>
                <w:szCs w:val="20"/>
              </w:rPr>
            </w:pPr>
            <w:r>
              <w:rPr>
                <w:rFonts w:cs="Times New Roman" w:ascii="Times New Roman" w:hAnsi="Times New Roman"/>
                <w:sz w:val="20"/>
                <w:szCs w:val="20"/>
              </w:rPr>
              <w:t xml:space="preserve">Жилые дома без водонагревателей с водопроводом и </w:t>
            </w:r>
            <w:r>
              <w:rPr>
                <w:rFonts w:cs="Times New Roman" w:ascii="Times New Roman" w:hAnsi="Times New Roman"/>
                <w:spacing w:val="-2"/>
                <w:sz w:val="20"/>
                <w:szCs w:val="20"/>
              </w:rPr>
              <w:t xml:space="preserve">канализацией, оборудованные раковинами, </w:t>
            </w:r>
            <w:r>
              <w:rPr>
                <w:rFonts w:cs="Times New Roman" w:ascii="Times New Roman" w:hAnsi="Times New Roman"/>
                <w:sz w:val="20"/>
                <w:szCs w:val="20"/>
              </w:rPr>
              <w:t xml:space="preserve">мойками и </w:t>
            </w:r>
            <w:r>
              <w:rPr>
                <w:rFonts w:cs="Times New Roman" w:ascii="Times New Roman" w:hAnsi="Times New Roman"/>
                <w:spacing w:val="-2"/>
                <w:sz w:val="20"/>
                <w:szCs w:val="20"/>
              </w:rPr>
              <w:t>унитазами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5,5</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5,5</w:t>
            </w:r>
          </w:p>
        </w:tc>
      </w:tr>
      <w:tr>
        <w:trPr>
          <w:trHeight w:val="1396"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13.</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1"/>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без водонагревателей с </w:t>
            </w:r>
            <w:r>
              <w:rPr>
                <w:rFonts w:cs="Times New Roman" w:ascii="Times New Roman" w:hAnsi="Times New Roman"/>
                <w:spacing w:val="-2"/>
                <w:sz w:val="20"/>
                <w:szCs w:val="20"/>
              </w:rPr>
              <w:t xml:space="preserve">централизованным холодным </w:t>
            </w:r>
            <w:r>
              <w:rPr>
                <w:rFonts w:cs="Times New Roman" w:ascii="Times New Roman" w:hAnsi="Times New Roman"/>
                <w:sz w:val="20"/>
                <w:szCs w:val="20"/>
              </w:rPr>
              <w:t xml:space="preserve">водоснабжением и </w:t>
            </w:r>
            <w:r>
              <w:rPr>
                <w:rFonts w:cs="Times New Roman" w:ascii="Times New Roman" w:hAnsi="Times New Roman"/>
                <w:spacing w:val="-2"/>
                <w:sz w:val="20"/>
                <w:szCs w:val="20"/>
              </w:rPr>
              <w:t xml:space="preserve">водоотведением, оборудованные </w:t>
            </w:r>
            <w:r>
              <w:rPr>
                <w:rFonts w:cs="Times New Roman" w:ascii="Times New Roman" w:hAnsi="Times New Roman"/>
                <w:sz w:val="20"/>
                <w:szCs w:val="20"/>
              </w:rPr>
              <w:t xml:space="preserve">раковинами и </w:t>
            </w:r>
            <w:r>
              <w:rPr>
                <w:rFonts w:cs="Times New Roman" w:ascii="Times New Roman" w:hAnsi="Times New Roman"/>
                <w:spacing w:val="-2"/>
                <w:sz w:val="20"/>
                <w:szCs w:val="20"/>
              </w:rPr>
              <w:t>мойками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r>
      <w:tr>
        <w:trPr>
          <w:trHeight w:val="1643"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14.</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дома с </w:t>
            </w:r>
            <w:r>
              <w:rPr>
                <w:rFonts w:cs="Times New Roman" w:ascii="Times New Roman" w:hAnsi="Times New Roman"/>
                <w:spacing w:val="-2"/>
                <w:sz w:val="20"/>
                <w:szCs w:val="20"/>
              </w:rPr>
              <w:t xml:space="preserve">централизованным холодным водоснабжением, </w:t>
            </w:r>
            <w:r>
              <w:rPr>
                <w:rFonts w:cs="Times New Roman" w:ascii="Times New Roman" w:hAnsi="Times New Roman"/>
                <w:spacing w:val="-4"/>
                <w:sz w:val="20"/>
                <w:szCs w:val="20"/>
              </w:rPr>
              <w:t xml:space="preserve">без </w:t>
            </w:r>
            <w:r>
              <w:rPr>
                <w:rFonts w:cs="Times New Roman" w:ascii="Times New Roman" w:hAnsi="Times New Roman"/>
                <w:spacing w:val="-2"/>
                <w:sz w:val="20"/>
                <w:szCs w:val="20"/>
              </w:rPr>
              <w:t xml:space="preserve">централизованного водоотведения, оборудованные умывальниками, мойками, унитазами, </w:t>
            </w:r>
            <w:r>
              <w:rPr>
                <w:rFonts w:cs="Times New Roman" w:ascii="Times New Roman" w:hAnsi="Times New Roman"/>
                <w:sz w:val="20"/>
                <w:szCs w:val="20"/>
              </w:rPr>
              <w:t>ваннами, душами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1681"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15.</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44"/>
              <w:jc w:val="both"/>
              <w:rPr>
                <w:rFonts w:ascii="Times New Roman" w:hAnsi="Times New Roman" w:cs="Times New Roman"/>
                <w:sz w:val="20"/>
                <w:szCs w:val="20"/>
              </w:rPr>
            </w:pPr>
            <w:r>
              <w:rPr>
                <w:rFonts w:cs="Times New Roman" w:ascii="Times New Roman" w:hAnsi="Times New Roman"/>
                <w:sz w:val="20"/>
                <w:szCs w:val="20"/>
              </w:rPr>
              <w:t xml:space="preserve">Жилые дома с </w:t>
            </w:r>
            <w:r>
              <w:rPr>
                <w:rFonts w:cs="Times New Roman" w:ascii="Times New Roman" w:hAnsi="Times New Roman"/>
                <w:spacing w:val="-2"/>
                <w:sz w:val="20"/>
                <w:szCs w:val="20"/>
              </w:rPr>
              <w:t xml:space="preserve">централизованным холодным водоснабжением, </w:t>
            </w:r>
            <w:r>
              <w:rPr>
                <w:rFonts w:cs="Times New Roman" w:ascii="Times New Roman" w:hAnsi="Times New Roman"/>
                <w:spacing w:val="-4"/>
                <w:sz w:val="20"/>
                <w:szCs w:val="20"/>
              </w:rPr>
              <w:t xml:space="preserve">без </w:t>
            </w:r>
            <w:r>
              <w:rPr>
                <w:rFonts w:cs="Times New Roman" w:ascii="Times New Roman" w:hAnsi="Times New Roman"/>
                <w:spacing w:val="-2"/>
                <w:sz w:val="20"/>
                <w:szCs w:val="20"/>
              </w:rPr>
              <w:t xml:space="preserve">централизованного водоотведения, оборудованные умывальниками, мойками, унитазами, </w:t>
            </w:r>
            <w:r>
              <w:rPr>
                <w:rFonts w:cs="Times New Roman" w:ascii="Times New Roman" w:hAnsi="Times New Roman"/>
                <w:sz w:val="20"/>
                <w:szCs w:val="20"/>
              </w:rPr>
              <w:t>ваннами, душами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3,2</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1381" w:hRule="atLeast"/>
        </w:trPr>
        <w:tc>
          <w:tcPr>
            <w:tcW w:w="58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16.</w:t>
            </w:r>
          </w:p>
        </w:tc>
        <w:tc>
          <w:tcPr>
            <w:tcW w:w="242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44"/>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дома с </w:t>
            </w:r>
            <w:r>
              <w:rPr>
                <w:rFonts w:cs="Times New Roman" w:ascii="Times New Roman" w:hAnsi="Times New Roman"/>
                <w:spacing w:val="-2"/>
                <w:sz w:val="20"/>
                <w:szCs w:val="20"/>
              </w:rPr>
              <w:t xml:space="preserve">централизованным холодным водоснабжением, </w:t>
            </w:r>
            <w:r>
              <w:rPr>
                <w:rFonts w:cs="Times New Roman" w:ascii="Times New Roman" w:hAnsi="Times New Roman"/>
                <w:spacing w:val="-4"/>
                <w:sz w:val="20"/>
                <w:szCs w:val="20"/>
              </w:rPr>
              <w:t xml:space="preserve">без </w:t>
            </w:r>
            <w:r>
              <w:rPr>
                <w:rFonts w:cs="Times New Roman" w:ascii="Times New Roman" w:hAnsi="Times New Roman"/>
                <w:spacing w:val="-2"/>
                <w:sz w:val="20"/>
                <w:szCs w:val="20"/>
              </w:rPr>
              <w:t>централизованного водоотведения, оборудованные умывальниками, мойками, унитазами</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1,7</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294" w:hRule="atLeast"/>
        </w:trPr>
        <w:tc>
          <w:tcPr>
            <w:tcW w:w="58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42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8"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rHeight w:val="154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17.</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z w:val="20"/>
                <w:szCs w:val="20"/>
              </w:rPr>
              <w:t xml:space="preserve">Жилые дома с </w:t>
            </w:r>
            <w:r>
              <w:rPr>
                <w:rFonts w:cs="Times New Roman" w:ascii="Times New Roman" w:hAnsi="Times New Roman"/>
                <w:spacing w:val="-2"/>
                <w:sz w:val="20"/>
                <w:szCs w:val="20"/>
              </w:rPr>
              <w:t xml:space="preserve">централизованным холодным водоснабжением, </w:t>
            </w:r>
            <w:r>
              <w:rPr>
                <w:rFonts w:cs="Times New Roman" w:ascii="Times New Roman" w:hAnsi="Times New Roman"/>
                <w:spacing w:val="-4"/>
                <w:sz w:val="20"/>
                <w:szCs w:val="20"/>
              </w:rPr>
              <w:t xml:space="preserve">без </w:t>
            </w:r>
            <w:r>
              <w:rPr>
                <w:rFonts w:cs="Times New Roman" w:ascii="Times New Roman" w:hAnsi="Times New Roman"/>
                <w:spacing w:val="-2"/>
                <w:sz w:val="20"/>
                <w:szCs w:val="20"/>
              </w:rPr>
              <w:t>централизованного водоотведения, оборудованные умывальниками, мойками, унитазами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2,4</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591"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18.</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4"/>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с </w:t>
            </w:r>
            <w:r>
              <w:rPr>
                <w:rFonts w:cs="Times New Roman" w:ascii="Times New Roman" w:hAnsi="Times New Roman"/>
                <w:spacing w:val="-2"/>
                <w:sz w:val="20"/>
                <w:szCs w:val="20"/>
              </w:rPr>
              <w:t>водоразборной колонкой</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184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19.</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98"/>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Дома, </w:t>
            </w:r>
            <w:r>
              <w:rPr>
                <w:rFonts w:cs="Times New Roman" w:ascii="Times New Roman" w:hAnsi="Times New Roman"/>
                <w:sz w:val="20"/>
                <w:szCs w:val="20"/>
              </w:rPr>
              <w:t xml:space="preserve">использующиеся в </w:t>
            </w:r>
            <w:r>
              <w:rPr>
                <w:rFonts w:cs="Times New Roman" w:ascii="Times New Roman" w:hAnsi="Times New Roman"/>
                <w:spacing w:val="-2"/>
                <w:sz w:val="20"/>
                <w:szCs w:val="20"/>
              </w:rPr>
              <w:t xml:space="preserve">качестве общежитий, оборудованные мойками, раковинами, </w:t>
            </w:r>
            <w:r>
              <w:rPr>
                <w:rFonts w:cs="Times New Roman" w:ascii="Times New Roman" w:hAnsi="Times New Roman"/>
                <w:sz w:val="20"/>
                <w:szCs w:val="20"/>
              </w:rPr>
              <w:t xml:space="preserve">унитазами, с душевыми с </w:t>
            </w:r>
            <w:r>
              <w:rPr>
                <w:rFonts w:cs="Times New Roman" w:ascii="Times New Roman" w:hAnsi="Times New Roman"/>
                <w:spacing w:val="-2"/>
                <w:sz w:val="20"/>
                <w:szCs w:val="20"/>
              </w:rPr>
              <w:t xml:space="preserve">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горячим водоснабжением, водоотведением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1,8</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1"/>
              <w:jc w:val="center"/>
              <w:rPr>
                <w:rFonts w:ascii="Times New Roman" w:hAnsi="Times New Roman" w:cs="Times New Roman"/>
                <w:spacing w:val="-4"/>
                <w:sz w:val="20"/>
                <w:szCs w:val="20"/>
              </w:rPr>
            </w:pPr>
            <w:r>
              <w:rPr>
                <w:rFonts w:cs="Times New Roman" w:ascii="Times New Roman" w:hAnsi="Times New Roman"/>
                <w:spacing w:val="-4"/>
                <w:sz w:val="20"/>
                <w:szCs w:val="20"/>
              </w:rPr>
              <w:t>4,9</w:t>
            </w:r>
          </w:p>
        </w:tc>
      </w:tr>
      <w:tr>
        <w:trPr>
          <w:trHeight w:val="184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20.</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5"/>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 xml:space="preserve">и жилые дома, </w:t>
            </w:r>
            <w:r>
              <w:rPr>
                <w:rFonts w:cs="Times New Roman" w:ascii="Times New Roman" w:hAnsi="Times New Roman"/>
                <w:spacing w:val="-2"/>
                <w:sz w:val="20"/>
                <w:szCs w:val="20"/>
              </w:rPr>
              <w:t xml:space="preserve">оборудованные централизованным холодным водоснабжением, </w:t>
            </w:r>
            <w:r>
              <w:rPr>
                <w:rFonts w:cs="Times New Roman" w:ascii="Times New Roman" w:hAnsi="Times New Roman"/>
                <w:spacing w:val="-4"/>
                <w:sz w:val="20"/>
                <w:szCs w:val="20"/>
              </w:rPr>
              <w:t xml:space="preserve">без </w:t>
            </w:r>
            <w:r>
              <w:rPr>
                <w:rFonts w:cs="Times New Roman" w:ascii="Times New Roman" w:hAnsi="Times New Roman"/>
                <w:spacing w:val="-2"/>
                <w:sz w:val="20"/>
                <w:szCs w:val="20"/>
              </w:rPr>
              <w:t xml:space="preserve">централизованного </w:t>
            </w:r>
            <w:r>
              <w:rPr>
                <w:rFonts w:cs="Times New Roman" w:ascii="Times New Roman" w:hAnsi="Times New Roman"/>
                <w:sz w:val="20"/>
                <w:szCs w:val="20"/>
              </w:rPr>
              <w:t xml:space="preserve">водоотведения(без выгреба или </w:t>
            </w:r>
            <w:r>
              <w:rPr>
                <w:rFonts w:cs="Times New Roman" w:ascii="Times New Roman" w:hAnsi="Times New Roman"/>
                <w:spacing w:val="-2"/>
                <w:sz w:val="20"/>
                <w:szCs w:val="20"/>
              </w:rPr>
              <w:t xml:space="preserve">септика), водонагревателем </w:t>
            </w:r>
            <w:r>
              <w:rPr>
                <w:rFonts w:cs="Times New Roman" w:ascii="Times New Roman" w:hAnsi="Times New Roman"/>
                <w:sz w:val="20"/>
                <w:szCs w:val="20"/>
              </w:rPr>
              <w:t xml:space="preserve">всех типов, с </w:t>
            </w:r>
            <w:r>
              <w:rPr>
                <w:rFonts w:cs="Times New Roman" w:ascii="Times New Roman" w:hAnsi="Times New Roman"/>
                <w:spacing w:val="-2"/>
                <w:sz w:val="20"/>
                <w:szCs w:val="20"/>
              </w:rPr>
              <w:t>ванной</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5,1</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553" w:hRule="atLeast"/>
        </w:trPr>
        <w:tc>
          <w:tcPr>
            <w:tcW w:w="9529"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(вред.</w:t>
            </w:r>
            <w:hyperlink r:id="rId20">
              <w:r>
                <w:rPr>
                  <w:rStyle w:val="Style7"/>
                  <w:rFonts w:cs="Times New Roman" w:ascii="Times New Roman" w:hAnsi="Times New Roman"/>
                  <w:sz w:val="20"/>
                  <w:szCs w:val="20"/>
                  <w:u w:val="single"/>
                </w:rPr>
                <w:t>приказаминистерстважилищно-коммунальногохозяйстваСтавропольскогокраяот31.05.2016 N 154</w:t>
              </w:r>
            </w:hyperlink>
            <w:r>
              <w:rPr>
                <w:rFonts w:cs="Times New Roman" w:ascii="Times New Roman" w:hAnsi="Times New Roman"/>
                <w:sz w:val="20"/>
                <w:szCs w:val="20"/>
              </w:rPr>
              <w:t>)</w:t>
            </w:r>
          </w:p>
        </w:tc>
      </w:tr>
      <w:tr>
        <w:trPr>
          <w:trHeight w:val="99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21.</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98"/>
              <w:jc w:val="both"/>
              <w:rPr>
                <w:rFonts w:ascii="Times New Roman" w:hAnsi="Times New Roman" w:cs="Times New Roman"/>
                <w:sz w:val="20"/>
                <w:szCs w:val="20"/>
              </w:rPr>
            </w:pPr>
            <w:r>
              <w:rPr>
                <w:rFonts w:cs="Times New Roman" w:ascii="Times New Roman" w:hAnsi="Times New Roman"/>
                <w:spacing w:val="-2"/>
                <w:sz w:val="20"/>
                <w:szCs w:val="20"/>
              </w:rPr>
              <w:t xml:space="preserve">Многоквартирные </w:t>
            </w:r>
            <w:r>
              <w:rPr>
                <w:rFonts w:cs="Times New Roman" w:ascii="Times New Roman" w:hAnsi="Times New Roman"/>
                <w:sz w:val="20"/>
                <w:szCs w:val="20"/>
              </w:rPr>
              <w:t>и жилые дома с</w:t>
            </w:r>
          </w:p>
          <w:p>
            <w:pPr>
              <w:pStyle w:val="Normal"/>
              <w:spacing w:lineRule="auto" w:line="240" w:before="0" w:after="0"/>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водоразборной </w:t>
            </w:r>
            <w:r>
              <w:rPr>
                <w:rFonts w:cs="Times New Roman" w:ascii="Times New Roman" w:hAnsi="Times New Roman"/>
                <w:sz w:val="20"/>
                <w:szCs w:val="20"/>
              </w:rPr>
              <w:t xml:space="preserve">колонкой с </w:t>
            </w:r>
            <w:r>
              <w:rPr>
                <w:rFonts w:cs="Times New Roman" w:ascii="Times New Roman" w:hAnsi="Times New Roman"/>
                <w:spacing w:val="-2"/>
                <w:sz w:val="20"/>
                <w:szCs w:val="20"/>
              </w:rPr>
              <w:t>централизованным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pacing w:val="-2"/>
                <w:sz w:val="20"/>
                <w:szCs w:val="20"/>
              </w:rPr>
              <w:t>водоотведением</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7"/>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1"/>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r>
      <w:tr>
        <w:trPr>
          <w:trHeight w:val="177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22.</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Дома, </w:t>
            </w:r>
            <w:r>
              <w:rPr>
                <w:rFonts w:cs="Times New Roman" w:ascii="Times New Roman" w:hAnsi="Times New Roman"/>
                <w:sz w:val="20"/>
                <w:szCs w:val="20"/>
              </w:rPr>
              <w:t xml:space="preserve">использующиеся в </w:t>
            </w:r>
            <w:r>
              <w:rPr>
                <w:rFonts w:cs="Times New Roman" w:ascii="Times New Roman" w:hAnsi="Times New Roman"/>
                <w:spacing w:val="-2"/>
                <w:sz w:val="20"/>
                <w:szCs w:val="20"/>
              </w:rPr>
              <w:t xml:space="preserve">качестве общежитий, оборудованные централизованным холодным водоснабжением, </w:t>
            </w:r>
            <w:r>
              <w:rPr>
                <w:rFonts w:cs="Times New Roman" w:ascii="Times New Roman" w:hAnsi="Times New Roman"/>
                <w:sz w:val="20"/>
                <w:szCs w:val="20"/>
              </w:rPr>
              <w:t xml:space="preserve">без водоотведения (с выгребом или септиком), с общими душевыми на этажи общими </w:t>
            </w:r>
            <w:r>
              <w:rPr>
                <w:rFonts w:cs="Times New Roman" w:ascii="Times New Roman" w:hAnsi="Times New Roman"/>
                <w:spacing w:val="-2"/>
                <w:sz w:val="20"/>
                <w:szCs w:val="20"/>
              </w:rPr>
              <w:t>кухнями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4,9</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r>
      <w:tr>
        <w:trPr>
          <w:trHeight w:val="1604"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Дома, </w:t>
            </w:r>
            <w:r>
              <w:rPr>
                <w:rFonts w:cs="Times New Roman" w:ascii="Times New Roman" w:hAnsi="Times New Roman"/>
                <w:sz w:val="20"/>
                <w:szCs w:val="20"/>
              </w:rPr>
              <w:t xml:space="preserve">использующиеся в </w:t>
            </w:r>
            <w:r>
              <w:rPr>
                <w:rFonts w:cs="Times New Roman" w:ascii="Times New Roman" w:hAnsi="Times New Roman"/>
                <w:spacing w:val="-2"/>
                <w:sz w:val="20"/>
                <w:szCs w:val="20"/>
              </w:rPr>
              <w:t xml:space="preserve">качестве общежитий, оборудованные централизованным холодным водоснабжением, </w:t>
            </w:r>
            <w:r>
              <w:rPr>
                <w:rFonts w:cs="Times New Roman" w:ascii="Times New Roman" w:hAnsi="Times New Roman"/>
                <w:sz w:val="20"/>
                <w:szCs w:val="20"/>
              </w:rPr>
              <w:t xml:space="preserve">водоотведением, с общими душевыми на этаж и общими </w:t>
            </w:r>
            <w:r>
              <w:rPr>
                <w:rFonts w:cs="Times New Roman" w:ascii="Times New Roman" w:hAnsi="Times New Roman"/>
                <w:spacing w:val="-2"/>
                <w:sz w:val="20"/>
                <w:szCs w:val="20"/>
              </w:rPr>
              <w:t>кухнями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4,9</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1"/>
              <w:jc w:val="center"/>
              <w:rPr>
                <w:rFonts w:ascii="Times New Roman" w:hAnsi="Times New Roman" w:cs="Times New Roman"/>
                <w:spacing w:val="-4"/>
                <w:sz w:val="20"/>
                <w:szCs w:val="20"/>
              </w:rPr>
            </w:pPr>
            <w:r>
              <w:rPr>
                <w:rFonts w:cs="Times New Roman" w:ascii="Times New Roman" w:hAnsi="Times New Roman"/>
                <w:spacing w:val="-4"/>
                <w:sz w:val="20"/>
                <w:szCs w:val="20"/>
              </w:rPr>
              <w:t>4,9</w:t>
            </w:r>
          </w:p>
        </w:tc>
      </w:tr>
      <w:tr>
        <w:trPr>
          <w:trHeight w:val="1372"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24.</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44"/>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Дома, </w:t>
            </w:r>
            <w:r>
              <w:rPr>
                <w:rFonts w:cs="Times New Roman" w:ascii="Times New Roman" w:hAnsi="Times New Roman"/>
                <w:sz w:val="20"/>
                <w:szCs w:val="20"/>
              </w:rPr>
              <w:t xml:space="preserve">использующиеся в </w:t>
            </w:r>
            <w:r>
              <w:rPr>
                <w:rFonts w:cs="Times New Roman" w:ascii="Times New Roman" w:hAnsi="Times New Roman"/>
                <w:spacing w:val="-2"/>
                <w:sz w:val="20"/>
                <w:szCs w:val="20"/>
              </w:rPr>
              <w:t xml:space="preserve">качестве общежитий, оборудованные централизованным холодным водоснабжением, водоотведением, </w:t>
            </w:r>
            <w:r>
              <w:rPr>
                <w:rFonts w:cs="Times New Roman" w:ascii="Times New Roman" w:hAnsi="Times New Roman"/>
                <w:sz w:val="20"/>
                <w:szCs w:val="20"/>
              </w:rPr>
              <w:t xml:space="preserve">без кухни и </w:t>
            </w:r>
            <w:r>
              <w:rPr>
                <w:rFonts w:cs="Times New Roman" w:ascii="Times New Roman" w:hAnsi="Times New Roman"/>
                <w:spacing w:val="-2"/>
                <w:sz w:val="20"/>
                <w:szCs w:val="20"/>
              </w:rPr>
              <w:t>душевой</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2,6</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1"/>
              <w:jc w:val="center"/>
              <w:rPr>
                <w:rFonts w:ascii="Times New Roman" w:hAnsi="Times New Roman" w:cs="Times New Roman"/>
                <w:spacing w:val="-4"/>
                <w:sz w:val="20"/>
                <w:szCs w:val="20"/>
              </w:rPr>
            </w:pPr>
            <w:r>
              <w:rPr>
                <w:rFonts w:cs="Times New Roman" w:ascii="Times New Roman" w:hAnsi="Times New Roman"/>
                <w:spacing w:val="-4"/>
                <w:sz w:val="20"/>
                <w:szCs w:val="20"/>
              </w:rPr>
              <w:t>2,6</w:t>
            </w:r>
          </w:p>
        </w:tc>
      </w:tr>
      <w:tr>
        <w:trPr>
          <w:trHeight w:val="555" w:hRule="atLeast"/>
        </w:trPr>
        <w:tc>
          <w:tcPr>
            <w:tcW w:w="5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25.</w:t>
            </w:r>
          </w:p>
        </w:tc>
        <w:tc>
          <w:tcPr>
            <w:tcW w:w="2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98"/>
              <w:jc w:val="both"/>
              <w:rPr>
                <w:rFonts w:ascii="Times New Roman" w:hAnsi="Times New Roman" w:cs="Times New Roman"/>
                <w:spacing w:val="-2"/>
                <w:sz w:val="20"/>
                <w:szCs w:val="20"/>
              </w:rPr>
            </w:pPr>
            <w:r>
              <w:rPr>
                <w:rFonts w:cs="Times New Roman" w:ascii="Times New Roman" w:hAnsi="Times New Roman"/>
                <w:spacing w:val="-2"/>
                <w:sz w:val="20"/>
                <w:szCs w:val="20"/>
              </w:rPr>
              <w:t xml:space="preserve">Дома, </w:t>
            </w:r>
            <w:r>
              <w:rPr>
                <w:rFonts w:cs="Times New Roman" w:ascii="Times New Roman" w:hAnsi="Times New Roman"/>
                <w:sz w:val="20"/>
                <w:szCs w:val="20"/>
              </w:rPr>
              <w:t xml:space="preserve">использующиеся в </w:t>
            </w:r>
            <w:r>
              <w:rPr>
                <w:rFonts w:cs="Times New Roman" w:ascii="Times New Roman" w:hAnsi="Times New Roman"/>
                <w:spacing w:val="-2"/>
                <w:sz w:val="20"/>
                <w:szCs w:val="20"/>
              </w:rPr>
              <w:t xml:space="preserve">качестве общежитий, оборудованные централизованным холодным водоснабжением, </w:t>
            </w:r>
            <w:r>
              <w:rPr>
                <w:rFonts w:cs="Times New Roman" w:ascii="Times New Roman" w:hAnsi="Times New Roman"/>
                <w:sz w:val="20"/>
                <w:szCs w:val="20"/>
              </w:rPr>
              <w:t xml:space="preserve">водоотведением, с </w:t>
            </w:r>
            <w:r>
              <w:rPr>
                <w:rFonts w:cs="Times New Roman" w:ascii="Times New Roman" w:hAnsi="Times New Roman"/>
                <w:spacing w:val="-2"/>
                <w:sz w:val="20"/>
                <w:szCs w:val="20"/>
              </w:rPr>
              <w:t xml:space="preserve">общими </w:t>
            </w:r>
            <w:r>
              <w:rPr>
                <w:rFonts w:cs="Times New Roman" w:ascii="Times New Roman" w:hAnsi="Times New Roman"/>
                <w:sz w:val="20"/>
                <w:szCs w:val="20"/>
              </w:rPr>
              <w:t xml:space="preserve">душевыми, без </w:t>
            </w:r>
            <w:r>
              <w:rPr>
                <w:rFonts w:cs="Times New Roman" w:ascii="Times New Roman" w:hAnsi="Times New Roman"/>
                <w:spacing w:val="-2"/>
                <w:sz w:val="20"/>
                <w:szCs w:val="20"/>
              </w:rPr>
              <w:t>кухни</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4,3</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1"/>
              <w:jc w:val="center"/>
              <w:rPr>
                <w:rFonts w:ascii="Times New Roman" w:hAnsi="Times New Roman" w:cs="Times New Roman"/>
                <w:spacing w:val="-4"/>
                <w:sz w:val="20"/>
                <w:szCs w:val="20"/>
              </w:rPr>
            </w:pPr>
            <w:r>
              <w:rPr>
                <w:rFonts w:cs="Times New Roman" w:ascii="Times New Roman" w:hAnsi="Times New Roman"/>
                <w:spacing w:val="-4"/>
                <w:sz w:val="20"/>
                <w:szCs w:val="20"/>
              </w:rPr>
              <w:t>4,3</w:t>
            </w:r>
          </w:p>
        </w:tc>
      </w:tr>
      <w:tr>
        <w:trPr>
          <w:trHeight w:val="275" w:hRule="atLeast"/>
        </w:trPr>
        <w:tc>
          <w:tcPr>
            <w:tcW w:w="58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6"/>
              <w:jc w:val="center"/>
              <w:rPr>
                <w:rFonts w:ascii="Times New Roman" w:hAnsi="Times New Roman" w:cs="Times New Roman"/>
                <w:spacing w:val="-4"/>
                <w:sz w:val="20"/>
                <w:szCs w:val="20"/>
              </w:rPr>
            </w:pPr>
            <w:r>
              <w:rPr>
                <w:rFonts w:cs="Times New Roman" w:ascii="Times New Roman" w:hAnsi="Times New Roman"/>
                <w:spacing w:val="-4"/>
                <w:sz w:val="20"/>
                <w:szCs w:val="20"/>
              </w:rPr>
              <w:t>26.</w:t>
            </w:r>
          </w:p>
        </w:tc>
        <w:tc>
          <w:tcPr>
            <w:tcW w:w="2420" w:type="dxa"/>
            <w:tcBorders>
              <w:top w:val="single" w:sz="4" w:space="0" w:color="000000"/>
              <w:left w:val="single" w:sz="4" w:space="0" w:color="000000"/>
              <w:right w:val="single" w:sz="4" w:space="0" w:color="000000"/>
            </w:tcBorders>
          </w:tcPr>
          <w:p>
            <w:pPr>
              <w:pStyle w:val="Normal"/>
              <w:spacing w:lineRule="auto" w:line="240" w:before="0" w:after="0"/>
              <w:jc w:val="both"/>
              <w:rPr>
                <w:rFonts w:ascii="Times New Roman" w:hAnsi="Times New Roman" w:cs="Times New Roman"/>
                <w:spacing w:val="-2"/>
                <w:sz w:val="20"/>
                <w:szCs w:val="20"/>
              </w:rPr>
            </w:pPr>
            <w:r>
              <w:rPr>
                <w:rFonts w:cs="Times New Roman" w:ascii="Times New Roman" w:hAnsi="Times New Roman"/>
                <w:spacing w:val="-2"/>
                <w:sz w:val="20"/>
                <w:szCs w:val="20"/>
              </w:rPr>
              <w:t>Общежития,</w:t>
            </w:r>
          </w:p>
        </w:tc>
        <w:tc>
          <w:tcPr>
            <w:tcW w:w="1417" w:type="dxa"/>
            <w:tcBorders>
              <w:top w:val="single" w:sz="4" w:space="0" w:color="000000"/>
              <w:left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8"/>
              <w:jc w:val="center"/>
              <w:rPr>
                <w:rFonts w:ascii="Times New Roman" w:hAnsi="Times New Roman" w:cs="Times New Roman"/>
                <w:spacing w:val="-4"/>
                <w:sz w:val="20"/>
                <w:szCs w:val="20"/>
              </w:rPr>
            </w:pPr>
            <w:r>
              <w:rPr>
                <w:rFonts w:cs="Times New Roman" w:ascii="Times New Roman" w:hAnsi="Times New Roman"/>
                <w:spacing w:val="-4"/>
                <w:sz w:val="20"/>
                <w:szCs w:val="20"/>
              </w:rPr>
              <w:t>0,9</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9"/>
              <w:jc w:val="center"/>
              <w:rPr>
                <w:rFonts w:ascii="Times New Roman" w:hAnsi="Times New Roman" w:cs="Times New Roman"/>
                <w:spacing w:val="-4"/>
                <w:sz w:val="20"/>
                <w:szCs w:val="20"/>
              </w:rPr>
            </w:pPr>
            <w:r>
              <w:rPr>
                <w:rFonts w:cs="Times New Roman" w:ascii="Times New Roman" w:hAnsi="Times New Roman"/>
                <w:spacing w:val="-4"/>
                <w:sz w:val="20"/>
                <w:szCs w:val="20"/>
              </w:rPr>
              <w:t>3,2</w:t>
            </w:r>
          </w:p>
        </w:tc>
      </w:tr>
      <w:tr>
        <w:trPr>
          <w:trHeight w:val="1276" w:hRule="atLeast"/>
        </w:trPr>
        <w:tc>
          <w:tcPr>
            <w:tcW w:w="58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420" w:type="dxa"/>
            <w:tcBorders>
              <w:left w:val="single" w:sz="4" w:space="0" w:color="000000"/>
              <w:bottom w:val="single" w:sz="4" w:space="0" w:color="000000"/>
              <w:right w:val="single" w:sz="4" w:space="0" w:color="000000"/>
            </w:tcBorders>
          </w:tcPr>
          <w:p>
            <w:pPr>
              <w:pStyle w:val="Normal"/>
              <w:spacing w:lineRule="auto" w:line="240" w:before="0" w:after="0"/>
              <w:ind w:right="176"/>
              <w:jc w:val="both"/>
              <w:rPr>
                <w:rFonts w:ascii="Times New Roman" w:hAnsi="Times New Roman" w:cs="Times New Roman"/>
                <w:sz w:val="20"/>
                <w:szCs w:val="20"/>
              </w:rPr>
            </w:pPr>
            <w:r>
              <w:rPr>
                <w:rFonts w:cs="Times New Roman" w:ascii="Times New Roman" w:hAnsi="Times New Roman"/>
                <w:spacing w:val="-2"/>
                <w:sz w:val="20"/>
                <w:szCs w:val="20"/>
              </w:rPr>
              <w:t xml:space="preserve">оборудованные централизованным </w:t>
            </w:r>
            <w:r>
              <w:rPr>
                <w:rFonts w:cs="Times New Roman" w:ascii="Times New Roman" w:hAnsi="Times New Roman"/>
                <w:sz w:val="20"/>
                <w:szCs w:val="20"/>
              </w:rPr>
              <w:t xml:space="preserve">холодным и </w:t>
            </w:r>
            <w:r>
              <w:rPr>
                <w:rFonts w:cs="Times New Roman" w:ascii="Times New Roman" w:hAnsi="Times New Roman"/>
                <w:spacing w:val="-2"/>
                <w:sz w:val="20"/>
                <w:szCs w:val="20"/>
              </w:rPr>
              <w:t xml:space="preserve">горячим водоснабжением, водоотведением, </w:t>
            </w:r>
            <w:r>
              <w:rPr>
                <w:rFonts w:cs="Times New Roman" w:ascii="Times New Roman" w:hAnsi="Times New Roman"/>
                <w:sz w:val="20"/>
                <w:szCs w:val="20"/>
              </w:rPr>
              <w:t>без душевой, с общей кухней</w:t>
            </w:r>
          </w:p>
        </w:tc>
        <w:tc>
          <w:tcPr>
            <w:tcW w:w="1417"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bl>
    <w:p>
      <w:pPr>
        <w:pStyle w:val="NormalWeb"/>
        <w:shd w:val="clear" w:color="auto" w:fill="FFFFFF"/>
        <w:spacing w:before="0" w:after="0"/>
        <w:ind w:firstLine="567"/>
        <w:jc w:val="both"/>
        <w:rPr/>
      </w:pPr>
      <w:r>
        <w:rPr>
          <w:rStyle w:val="Strong"/>
          <w:b w:val="false"/>
        </w:rPr>
        <w:t xml:space="preserve">Нормативы потребления коммунальной услуги по газоснабжению </w:t>
      </w:r>
      <w:r>
        <w:rPr/>
        <w:t>утверждены Приказом Министерства ЖКХ СК от 11.03.2016 №87 (ред. от 19.04.2016). В документе прописаны нормативы для приготовления пищи, подогрева воды, отопления жилых помещений, а также для использования земельного участка и надворных построек.</w:t>
      </w:r>
    </w:p>
    <w:p>
      <w:pPr>
        <w:pStyle w:val="NormalWeb"/>
        <w:shd w:val="clear" w:color="auto" w:fill="FFFFFF"/>
        <w:spacing w:before="0" w:after="0"/>
        <w:ind w:firstLine="567"/>
        <w:jc w:val="right"/>
        <w:rPr/>
      </w:pPr>
      <w:r>
        <w:rPr/>
        <w:t>Таблица 23.</w:t>
      </w:r>
    </w:p>
    <w:p>
      <w:pPr>
        <w:pStyle w:val="NormalWeb"/>
        <w:shd w:val="clear" w:color="auto" w:fill="FFFFFF"/>
        <w:spacing w:before="0" w:after="0"/>
        <w:ind w:firstLine="567"/>
        <w:jc w:val="center"/>
        <w:rPr/>
      </w:pPr>
      <w:r>
        <w:rPr/>
        <w:t>Нормы потребления газа для населения Туркменского муниципального округа Ставропольского края при отсутствии приборов учета газа</w:t>
      </w:r>
    </w:p>
    <w:tbl>
      <w:tblPr>
        <w:tblW w:w="9752" w:type="dxa"/>
        <w:jc w:val="left"/>
        <w:tblInd w:w="30" w:type="dxa"/>
        <w:tblLayout w:type="fixed"/>
        <w:tblCellMar>
          <w:top w:w="0" w:type="dxa"/>
          <w:left w:w="5" w:type="dxa"/>
          <w:bottom w:w="0" w:type="dxa"/>
          <w:right w:w="5" w:type="dxa"/>
        </w:tblCellMar>
        <w:tblLook w:val="04a0"/>
      </w:tblPr>
      <w:tblGrid>
        <w:gridCol w:w="668"/>
        <w:gridCol w:w="4167"/>
        <w:gridCol w:w="2411"/>
        <w:gridCol w:w="2505"/>
      </w:tblGrid>
      <w:tr>
        <w:trPr>
          <w:trHeight w:val="174"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Категория жилого дома</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Ед. измерения</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pacing w:val="-2"/>
                <w:sz w:val="20"/>
                <w:szCs w:val="20"/>
              </w:rPr>
            </w:pPr>
            <w:r>
              <w:rPr>
                <w:rFonts w:cs="Times New Roman" w:ascii="Times New Roman" w:hAnsi="Times New Roman"/>
                <w:bCs/>
                <w:spacing w:val="-2"/>
                <w:sz w:val="20"/>
                <w:szCs w:val="20"/>
              </w:rPr>
              <w:t>Норматив потребления</w:t>
            </w:r>
          </w:p>
        </w:tc>
      </w:tr>
      <w:tr>
        <w:trPr>
          <w:trHeight w:val="250" w:hRule="atLeast"/>
        </w:trPr>
        <w:tc>
          <w:tcPr>
            <w:tcW w:w="975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1.Для приготовления пищи при газоснабжении природным газом</w:t>
            </w:r>
          </w:p>
        </w:tc>
      </w:tr>
      <w:tr>
        <w:trPr>
          <w:trHeight w:val="266"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1.1</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Многоквартирные и жилые дома, оборудованные газовой плитой</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куб. метр на человека в 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5" w:after="0"/>
              <w:ind w:right="1052"/>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r>
      <w:tr>
        <w:trPr>
          <w:trHeight w:val="250" w:hRule="atLeast"/>
        </w:trPr>
        <w:tc>
          <w:tcPr>
            <w:tcW w:w="975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2.Для подогрева воды при газоснабжении при газоснабжении природным газом</w:t>
            </w:r>
          </w:p>
        </w:tc>
      </w:tr>
      <w:tr>
        <w:trPr>
          <w:trHeight w:val="573"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2.1</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4"/>
              <w:jc w:val="center"/>
              <w:rPr>
                <w:rFonts w:ascii="Times New Roman" w:hAnsi="Times New Roman" w:cs="Times New Roman"/>
                <w:spacing w:val="-2"/>
                <w:sz w:val="20"/>
                <w:szCs w:val="20"/>
              </w:rPr>
            </w:pPr>
            <w:r>
              <w:rPr>
                <w:rFonts w:cs="Times New Roman" w:ascii="Times New Roman" w:hAnsi="Times New Roman"/>
                <w:sz w:val="20"/>
                <w:szCs w:val="20"/>
              </w:rPr>
              <w:t xml:space="preserve">Многоквартирные жилые дома, оборудованные газовым водонагревателем (при отсутствии централизованного горячего </w:t>
            </w:r>
            <w:r>
              <w:rPr>
                <w:rFonts w:cs="Times New Roman" w:ascii="Times New Roman" w:hAnsi="Times New Roman"/>
                <w:spacing w:val="-2"/>
                <w:sz w:val="20"/>
                <w:szCs w:val="20"/>
              </w:rPr>
              <w:t>водоснабжения)</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куб. метр на человека в 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052"/>
              <w:jc w:val="center"/>
              <w:rPr>
                <w:rFonts w:ascii="Times New Roman" w:hAnsi="Times New Roman" w:cs="Times New Roman"/>
                <w:spacing w:val="-4"/>
                <w:sz w:val="20"/>
                <w:szCs w:val="20"/>
              </w:rPr>
            </w:pPr>
            <w:r>
              <w:rPr>
                <w:rFonts w:cs="Times New Roman" w:ascii="Times New Roman" w:hAnsi="Times New Roman"/>
                <w:spacing w:val="-4"/>
                <w:sz w:val="20"/>
                <w:szCs w:val="20"/>
              </w:rPr>
              <w:t>20,0</w:t>
            </w:r>
          </w:p>
        </w:tc>
      </w:tr>
      <w:tr>
        <w:trPr>
          <w:trHeight w:val="836"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2.2</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4"/>
              <w:jc w:val="center"/>
              <w:rPr>
                <w:rFonts w:ascii="Times New Roman" w:hAnsi="Times New Roman" w:cs="Times New Roman"/>
                <w:sz w:val="20"/>
                <w:szCs w:val="20"/>
              </w:rPr>
            </w:pPr>
            <w:r>
              <w:rPr>
                <w:rFonts w:cs="Times New Roman" w:ascii="Times New Roman" w:hAnsi="Times New Roman"/>
                <w:sz w:val="20"/>
                <w:szCs w:val="20"/>
              </w:rPr>
              <w:t>Многоквартирные и жилые дома, оборудованные газовой плитой и не оборудованные газовым водонагревателем (при отсутствии</w:t>
            </w:r>
          </w:p>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централизованного горячего </w:t>
            </w:r>
            <w:r>
              <w:rPr>
                <w:rFonts w:cs="Times New Roman" w:ascii="Times New Roman" w:hAnsi="Times New Roman"/>
                <w:spacing w:val="-2"/>
                <w:sz w:val="20"/>
                <w:szCs w:val="20"/>
              </w:rPr>
              <w:t>водоснабжения)</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27"/>
              <w:jc w:val="center"/>
              <w:rPr>
                <w:rFonts w:ascii="Times New Roman" w:hAnsi="Times New Roman" w:cs="Times New Roman"/>
                <w:sz w:val="20"/>
                <w:szCs w:val="20"/>
              </w:rPr>
            </w:pPr>
            <w:r>
              <w:rPr>
                <w:rFonts w:cs="Times New Roman" w:ascii="Times New Roman" w:hAnsi="Times New Roman"/>
                <w:sz w:val="20"/>
                <w:szCs w:val="20"/>
              </w:rPr>
              <w:t>куб. метр на человека в 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07"/>
              <w:jc w:val="center"/>
              <w:rPr>
                <w:rFonts w:ascii="Times New Roman" w:hAnsi="Times New Roman" w:cs="Times New Roman"/>
                <w:spacing w:val="-4"/>
                <w:sz w:val="20"/>
                <w:szCs w:val="20"/>
              </w:rPr>
            </w:pPr>
            <w:r>
              <w:rPr>
                <w:rFonts w:cs="Times New Roman" w:ascii="Times New Roman" w:hAnsi="Times New Roman"/>
                <w:spacing w:val="-4"/>
                <w:sz w:val="20"/>
                <w:szCs w:val="20"/>
              </w:rPr>
              <w:t>5,0</w:t>
            </w:r>
          </w:p>
        </w:tc>
      </w:tr>
      <w:tr>
        <w:trPr>
          <w:trHeight w:val="253" w:hRule="atLeast"/>
        </w:trPr>
        <w:tc>
          <w:tcPr>
            <w:tcW w:w="975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3.Для приготовления пищи и подогрева воды при газоснабжении природным газом</w:t>
            </w:r>
          </w:p>
        </w:tc>
      </w:tr>
      <w:tr>
        <w:trPr>
          <w:trHeight w:val="872"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Многоквартирные и жилые дома, оборудованные газовой плитой и</w:t>
            </w:r>
          </w:p>
          <w:p>
            <w:pPr>
              <w:pStyle w:val="Normal"/>
              <w:spacing w:lineRule="auto" w:line="240" w:before="0" w:after="0"/>
              <w:ind w:right="64"/>
              <w:jc w:val="center"/>
              <w:rPr>
                <w:rFonts w:ascii="Times New Roman" w:hAnsi="Times New Roman" w:cs="Times New Roman"/>
                <w:sz w:val="20"/>
                <w:szCs w:val="20"/>
              </w:rPr>
            </w:pPr>
            <w:r>
              <w:rPr>
                <w:rFonts w:cs="Times New Roman" w:ascii="Times New Roman" w:hAnsi="Times New Roman"/>
                <w:sz w:val="20"/>
                <w:szCs w:val="20"/>
              </w:rPr>
              <w:t xml:space="preserve">газовым водонагревателем (при отсутствии централизованного горячего </w:t>
            </w:r>
            <w:r>
              <w:rPr>
                <w:rFonts w:cs="Times New Roman" w:ascii="Times New Roman" w:hAnsi="Times New Roman"/>
                <w:spacing w:val="-2"/>
                <w:sz w:val="20"/>
                <w:szCs w:val="20"/>
              </w:rPr>
              <w:t>водоснабжения)</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куб. метр на человека в 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5" w:after="0"/>
              <w:ind w:right="1052"/>
              <w:jc w:val="center"/>
              <w:rPr>
                <w:rFonts w:ascii="Times New Roman" w:hAnsi="Times New Roman" w:cs="Times New Roman"/>
                <w:spacing w:val="-4"/>
                <w:sz w:val="20"/>
                <w:szCs w:val="20"/>
              </w:rPr>
            </w:pPr>
            <w:r>
              <w:rPr>
                <w:rFonts w:cs="Times New Roman" w:ascii="Times New Roman" w:hAnsi="Times New Roman"/>
                <w:spacing w:val="-4"/>
                <w:sz w:val="20"/>
                <w:szCs w:val="20"/>
              </w:rPr>
              <w:t>30,0</w:t>
            </w:r>
          </w:p>
        </w:tc>
      </w:tr>
      <w:tr>
        <w:trPr>
          <w:trHeight w:val="827"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2"/>
              <w:jc w:val="center"/>
              <w:rPr>
                <w:rFonts w:ascii="Times New Roman" w:hAnsi="Times New Roman" w:cs="Times New Roman"/>
                <w:spacing w:val="-4"/>
                <w:sz w:val="20"/>
                <w:szCs w:val="20"/>
              </w:rPr>
            </w:pPr>
            <w:r>
              <w:rPr>
                <w:rFonts w:cs="Times New Roman" w:ascii="Times New Roman" w:hAnsi="Times New Roman"/>
                <w:spacing w:val="-4"/>
                <w:sz w:val="20"/>
                <w:szCs w:val="20"/>
              </w:rPr>
              <w:t>3.2</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4"/>
              <w:jc w:val="center"/>
              <w:rPr>
                <w:rFonts w:ascii="Times New Roman" w:hAnsi="Times New Roman" w:cs="Times New Roman"/>
                <w:spacing w:val="-2"/>
                <w:sz w:val="20"/>
                <w:szCs w:val="20"/>
              </w:rPr>
            </w:pPr>
            <w:r>
              <w:rPr>
                <w:rFonts w:cs="Times New Roman" w:ascii="Times New Roman" w:hAnsi="Times New Roman"/>
                <w:sz w:val="20"/>
                <w:szCs w:val="20"/>
              </w:rPr>
              <w:t xml:space="preserve">Многоквартирные и жилые дома, оборудованные газовой плитой и не оборудованные газовым водонагревателем (при отсутствии централизованного горячего </w:t>
            </w:r>
            <w:r>
              <w:rPr>
                <w:rFonts w:cs="Times New Roman" w:ascii="Times New Roman" w:hAnsi="Times New Roman"/>
                <w:spacing w:val="-2"/>
                <w:sz w:val="20"/>
                <w:szCs w:val="20"/>
              </w:rPr>
              <w:t>водоснабжения)</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7"/>
              <w:jc w:val="center"/>
              <w:rPr>
                <w:rFonts w:ascii="Times New Roman" w:hAnsi="Times New Roman" w:cs="Times New Roman"/>
                <w:sz w:val="20"/>
                <w:szCs w:val="20"/>
              </w:rPr>
            </w:pPr>
            <w:r>
              <w:rPr>
                <w:rFonts w:cs="Times New Roman" w:ascii="Times New Roman" w:hAnsi="Times New Roman"/>
                <w:sz w:val="20"/>
                <w:szCs w:val="20"/>
              </w:rPr>
              <w:t>куб. метр на человека в 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052"/>
              <w:jc w:val="center"/>
              <w:rPr>
                <w:rFonts w:ascii="Times New Roman" w:hAnsi="Times New Roman" w:cs="Times New Roman"/>
                <w:spacing w:val="-4"/>
                <w:sz w:val="20"/>
                <w:szCs w:val="20"/>
              </w:rPr>
            </w:pPr>
            <w:r>
              <w:rPr>
                <w:rFonts w:cs="Times New Roman" w:ascii="Times New Roman" w:hAnsi="Times New Roman"/>
                <w:spacing w:val="-4"/>
                <w:sz w:val="20"/>
                <w:szCs w:val="20"/>
              </w:rPr>
              <w:t>15,0</w:t>
            </w:r>
          </w:p>
        </w:tc>
      </w:tr>
      <w:tr>
        <w:trPr>
          <w:trHeight w:val="253" w:hRule="atLeast"/>
        </w:trPr>
        <w:tc>
          <w:tcPr>
            <w:tcW w:w="975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4.Для отопления жилых помещений при газоснабжении природным газом</w:t>
            </w:r>
          </w:p>
        </w:tc>
      </w:tr>
      <w:tr>
        <w:trPr>
          <w:trHeight w:val="573" w:hRule="atLeast"/>
        </w:trPr>
        <w:tc>
          <w:tcPr>
            <w:tcW w:w="6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2"/>
              <w:jc w:val="center"/>
              <w:rPr>
                <w:rFonts w:ascii="Times New Roman" w:hAnsi="Times New Roman" w:cs="Times New Roman"/>
                <w:spacing w:val="-4"/>
                <w:sz w:val="20"/>
                <w:szCs w:val="20"/>
              </w:rPr>
            </w:pPr>
            <w:r>
              <w:rPr>
                <w:rFonts w:cs="Times New Roman" w:ascii="Times New Roman" w:hAnsi="Times New Roman"/>
                <w:spacing w:val="-4"/>
                <w:sz w:val="20"/>
                <w:szCs w:val="20"/>
              </w:rPr>
              <w:t>4.1</w:t>
            </w:r>
          </w:p>
        </w:tc>
        <w:tc>
          <w:tcPr>
            <w:tcW w:w="4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Многоквартирные и жилые дома</w:t>
            </w:r>
          </w:p>
        </w:tc>
        <w:tc>
          <w:tcPr>
            <w:tcW w:w="2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7"/>
              <w:jc w:val="center"/>
              <w:rPr>
                <w:rFonts w:ascii="Times New Roman" w:hAnsi="Times New Roman" w:cs="Times New Roman"/>
                <w:spacing w:val="-2"/>
                <w:sz w:val="20"/>
                <w:szCs w:val="20"/>
              </w:rPr>
            </w:pPr>
            <w:r>
              <w:rPr>
                <w:rFonts w:cs="Times New Roman" w:ascii="Times New Roman" w:hAnsi="Times New Roman"/>
                <w:sz w:val="20"/>
                <w:szCs w:val="20"/>
              </w:rPr>
              <w:t xml:space="preserve">куб. метр на кв. метр общей площади жилых помещений в </w:t>
            </w:r>
            <w:r>
              <w:rPr>
                <w:rFonts w:cs="Times New Roman" w:ascii="Times New Roman" w:hAnsi="Times New Roman"/>
                <w:spacing w:val="-2"/>
                <w:sz w:val="20"/>
                <w:szCs w:val="20"/>
              </w:rPr>
              <w:t>месяц</w:t>
            </w:r>
          </w:p>
        </w:tc>
        <w:tc>
          <w:tcPr>
            <w:tcW w:w="25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07"/>
              <w:jc w:val="center"/>
              <w:rPr>
                <w:rFonts w:ascii="Times New Roman" w:hAnsi="Times New Roman" w:cs="Times New Roman"/>
                <w:spacing w:val="-4"/>
                <w:sz w:val="20"/>
                <w:szCs w:val="20"/>
              </w:rPr>
            </w:pPr>
            <w:r>
              <w:rPr>
                <w:rFonts w:cs="Times New Roman" w:ascii="Times New Roman" w:hAnsi="Times New Roman"/>
                <w:spacing w:val="-4"/>
                <w:sz w:val="20"/>
                <w:szCs w:val="20"/>
              </w:rPr>
              <w:t>8,2</w:t>
            </w:r>
          </w:p>
        </w:tc>
      </w:tr>
    </w:tbl>
    <w:p>
      <w:pPr>
        <w:pStyle w:val="NormalWeb"/>
        <w:shd w:val="clear" w:color="auto" w:fill="FFFFFF"/>
        <w:spacing w:before="0" w:after="0"/>
        <w:ind w:firstLine="567"/>
        <w:jc w:val="both"/>
        <w:rPr>
          <w:szCs w:val="28"/>
        </w:rPr>
      </w:pPr>
      <w:r>
        <w:rPr>
          <w:rStyle w:val="Strong"/>
          <w:b w:val="false"/>
          <w:szCs w:val="28"/>
        </w:rPr>
        <w:t>Нормативы потребления тепловой энергии</w:t>
      </w:r>
      <w:r>
        <w:rPr>
          <w:szCs w:val="28"/>
        </w:rPr>
        <w:t>утверждены Приказ Министерства строительства, архитектуры и жилищно - коммунального хозяйства Ставропольского края от 20.11.2014 № 807 «Об утверждении нормативов потребления коммунальной услуги по отоплению в Ставропольском крае».</w:t>
      </w:r>
    </w:p>
    <w:p>
      <w:pPr>
        <w:pStyle w:val="NormalWeb"/>
        <w:shd w:val="clear" w:color="auto" w:fill="FFFFFF"/>
        <w:spacing w:before="0" w:after="0"/>
        <w:ind w:firstLine="567"/>
        <w:jc w:val="right"/>
        <w:rPr>
          <w:szCs w:val="28"/>
        </w:rPr>
      </w:pPr>
      <w:r>
        <w:rPr>
          <w:szCs w:val="28"/>
        </w:rPr>
        <w:t>Таблица 24.</w:t>
      </w:r>
    </w:p>
    <w:p>
      <w:pPr>
        <w:pStyle w:val="NormalWeb"/>
        <w:shd w:val="clear" w:color="auto" w:fill="FFFFFF"/>
        <w:spacing w:before="0" w:after="0"/>
        <w:ind w:firstLine="567"/>
        <w:jc w:val="center"/>
        <w:rPr>
          <w:sz w:val="3"/>
          <w:szCs w:val="5"/>
        </w:rPr>
      </w:pPr>
      <w:r>
        <w:rPr>
          <w:szCs w:val="28"/>
        </w:rPr>
        <w:t>Нормы потребления тепловой энергии Туркменского муниципального округа Ставропольского края</w:t>
      </w:r>
    </w:p>
    <w:tbl>
      <w:tblPr>
        <w:tblW w:w="9528" w:type="dxa"/>
        <w:jc w:val="left"/>
        <w:tblInd w:w="136" w:type="dxa"/>
        <w:tblLayout w:type="fixed"/>
        <w:tblCellMar>
          <w:top w:w="0" w:type="dxa"/>
          <w:left w:w="5" w:type="dxa"/>
          <w:bottom w:w="0" w:type="dxa"/>
          <w:right w:w="5" w:type="dxa"/>
        </w:tblCellMar>
        <w:tblLook w:val="04a0"/>
      </w:tblPr>
      <w:tblGrid>
        <w:gridCol w:w="1049"/>
        <w:gridCol w:w="1070"/>
        <w:gridCol w:w="1070"/>
        <w:gridCol w:w="1070"/>
        <w:gridCol w:w="1130"/>
        <w:gridCol w:w="1132"/>
        <w:gridCol w:w="1028"/>
        <w:gridCol w:w="989"/>
        <w:gridCol w:w="989"/>
      </w:tblGrid>
      <w:tr>
        <w:trPr>
          <w:trHeight w:val="230" w:hRule="atLeast"/>
        </w:trPr>
        <w:tc>
          <w:tcPr>
            <w:tcW w:w="10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03"/>
              <w:jc w:val="center"/>
              <w:rPr>
                <w:rFonts w:ascii="Times New Roman" w:hAnsi="Times New Roman" w:cs="Times New Roman"/>
                <w:sz w:val="20"/>
                <w:szCs w:val="20"/>
              </w:rPr>
            </w:pPr>
            <w:r>
              <w:rPr>
                <w:rFonts w:cs="Times New Roman" w:ascii="Times New Roman" w:hAnsi="Times New Roman"/>
                <w:sz w:val="20"/>
                <w:szCs w:val="20"/>
              </w:rPr>
              <w:t>1 этаж</w:t>
            </w:r>
          </w:p>
        </w:tc>
        <w:tc>
          <w:tcPr>
            <w:tcW w:w="10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65"/>
              <w:jc w:val="center"/>
              <w:rPr>
                <w:rFonts w:ascii="Times New Roman" w:hAnsi="Times New Roman" w:cs="Times New Roman"/>
                <w:sz w:val="20"/>
                <w:szCs w:val="20"/>
              </w:rPr>
            </w:pPr>
            <w:r>
              <w:rPr>
                <w:rFonts w:cs="Times New Roman" w:ascii="Times New Roman" w:hAnsi="Times New Roman"/>
                <w:sz w:val="20"/>
                <w:szCs w:val="20"/>
              </w:rPr>
              <w:t>2 этажа</w:t>
            </w:r>
          </w:p>
        </w:tc>
        <w:tc>
          <w:tcPr>
            <w:tcW w:w="10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3 этажа</w:t>
            </w:r>
          </w:p>
        </w:tc>
        <w:tc>
          <w:tcPr>
            <w:tcW w:w="10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4 этажа</w:t>
            </w:r>
          </w:p>
        </w:tc>
        <w:tc>
          <w:tcPr>
            <w:tcW w:w="11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5 этажей</w:t>
            </w:r>
          </w:p>
        </w:tc>
        <w:tc>
          <w:tcPr>
            <w:tcW w:w="11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6 этажей</w:t>
            </w:r>
          </w:p>
        </w:tc>
        <w:tc>
          <w:tcPr>
            <w:tcW w:w="10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7 этажей</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8 этажей</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9 этажей</w:t>
            </w:r>
          </w:p>
        </w:tc>
      </w:tr>
      <w:tr>
        <w:trPr>
          <w:trHeight w:val="603" w:hRule="atLeast"/>
        </w:trPr>
        <w:tc>
          <w:tcPr>
            <w:tcW w:w="9527"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303"/>
              <w:jc w:val="both"/>
              <w:rPr>
                <w:rFonts w:ascii="Times New Roman" w:hAnsi="Times New Roman" w:cs="Times New Roman"/>
                <w:sz w:val="20"/>
                <w:szCs w:val="20"/>
              </w:rPr>
            </w:pPr>
            <w:r>
              <w:rPr>
                <w:rFonts w:cs="Times New Roman" w:ascii="Times New Roman" w:hAnsi="Times New Roman"/>
                <w:sz w:val="20"/>
                <w:szCs w:val="20"/>
              </w:rPr>
              <w:t xml:space="preserve">Нормативы потребления коммунальной услуги по отоплению (Гкал/кв. м в месяц) в многоквартирных или жилых домах до 1999 года постройки включительно, определенные расчетнымметодом,исходяизпродолжительностиотопительногопериодасемькалендарных </w:t>
            </w:r>
            <w:r>
              <w:rPr>
                <w:rFonts w:cs="Times New Roman" w:ascii="Times New Roman" w:hAnsi="Times New Roman"/>
                <w:spacing w:val="-2"/>
                <w:sz w:val="20"/>
                <w:szCs w:val="20"/>
              </w:rPr>
              <w:t>месяцев</w:t>
            </w:r>
          </w:p>
        </w:tc>
      </w:tr>
      <w:tr>
        <w:trPr>
          <w:trHeight w:val="293" w:hRule="atLeast"/>
        </w:trPr>
        <w:tc>
          <w:tcPr>
            <w:tcW w:w="104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right="203"/>
              <w:jc w:val="center"/>
              <w:rPr>
                <w:rFonts w:ascii="Times New Roman" w:hAnsi="Times New Roman" w:cs="Times New Roman"/>
                <w:spacing w:val="-2"/>
                <w:sz w:val="20"/>
                <w:szCs w:val="20"/>
              </w:rPr>
            </w:pPr>
            <w:r>
              <w:rPr>
                <w:rFonts w:cs="Times New Roman" w:ascii="Times New Roman" w:hAnsi="Times New Roman"/>
                <w:spacing w:val="-2"/>
                <w:sz w:val="20"/>
                <w:szCs w:val="20"/>
              </w:rPr>
              <w:t>0,0397</w:t>
            </w:r>
          </w:p>
        </w:tc>
        <w:tc>
          <w:tcPr>
            <w:tcW w:w="10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right="165"/>
              <w:jc w:val="center"/>
              <w:rPr>
                <w:rFonts w:ascii="Times New Roman" w:hAnsi="Times New Roman" w:cs="Times New Roman"/>
                <w:spacing w:val="-2"/>
                <w:sz w:val="20"/>
                <w:szCs w:val="20"/>
              </w:rPr>
            </w:pPr>
            <w:r>
              <w:rPr>
                <w:rFonts w:cs="Times New Roman" w:ascii="Times New Roman" w:hAnsi="Times New Roman"/>
                <w:spacing w:val="-2"/>
                <w:sz w:val="20"/>
                <w:szCs w:val="20"/>
              </w:rPr>
              <w:t>0,0413</w:t>
            </w: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right="771"/>
              <w:jc w:val="center"/>
              <w:rPr>
                <w:rFonts w:ascii="Times New Roman" w:hAnsi="Times New Roman" w:cs="Times New Roman"/>
                <w:spacing w:val="-2"/>
                <w:sz w:val="20"/>
                <w:szCs w:val="20"/>
              </w:rPr>
            </w:pPr>
            <w:r>
              <w:rPr>
                <w:rFonts w:cs="Times New Roman" w:ascii="Times New Roman" w:hAnsi="Times New Roman"/>
                <w:spacing w:val="-2"/>
                <w:sz w:val="20"/>
                <w:szCs w:val="20"/>
              </w:rPr>
              <w:t>0,0239</w:t>
            </w:r>
          </w:p>
        </w:tc>
        <w:tc>
          <w:tcPr>
            <w:tcW w:w="5268"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right="2642"/>
              <w:jc w:val="center"/>
              <w:rPr>
                <w:rFonts w:ascii="Times New Roman" w:hAnsi="Times New Roman" w:cs="Times New Roman"/>
                <w:spacing w:val="-2"/>
                <w:sz w:val="20"/>
                <w:szCs w:val="20"/>
              </w:rPr>
            </w:pPr>
            <w:r>
              <w:rPr>
                <w:rFonts w:cs="Times New Roman" w:ascii="Times New Roman" w:hAnsi="Times New Roman"/>
                <w:spacing w:val="-2"/>
                <w:sz w:val="20"/>
                <w:szCs w:val="20"/>
              </w:rPr>
              <w:t>0,210</w:t>
            </w:r>
          </w:p>
        </w:tc>
      </w:tr>
    </w:tbl>
    <w:p>
      <w:pPr>
        <w:pStyle w:val="NormalWeb"/>
        <w:shd w:val="clear" w:color="auto" w:fill="FFFFFF"/>
        <w:spacing w:before="0" w:after="0"/>
        <w:ind w:firstLine="567"/>
        <w:jc w:val="both"/>
        <w:rPr>
          <w:szCs w:val="28"/>
        </w:rPr>
      </w:pPr>
      <w:r>
        <w:rPr>
          <w:rStyle w:val="Strong"/>
          <w:b w:val="false"/>
          <w:szCs w:val="28"/>
        </w:rPr>
        <w:t>Нормативы накопления твёрдых коммунальных</w:t>
      </w:r>
      <w:r>
        <w:rPr>
          <w:rStyle w:val="Strong"/>
          <w:szCs w:val="28"/>
        </w:rPr>
        <w:t xml:space="preserve"> отходов </w:t>
      </w:r>
      <w:r>
        <w:rPr>
          <w:szCs w:val="28"/>
        </w:rPr>
        <w:t>утверждены Приказом министерства ЖКХ СК от 26.12.2017 №347 (ред. от 06.04.2023).</w:t>
      </w:r>
    </w:p>
    <w:p>
      <w:pPr>
        <w:pStyle w:val="Normal"/>
        <w:spacing w:lineRule="auto" w:line="240" w:before="0" w:after="0"/>
        <w:ind w:firstLine="567"/>
        <w:jc w:val="right"/>
        <w:rPr>
          <w:rFonts w:ascii="Times New Roman" w:hAnsi="Times New Roman" w:cs="Times New Roman"/>
          <w:sz w:val="24"/>
          <w:szCs w:val="28"/>
        </w:rPr>
      </w:pPr>
      <w:r>
        <w:rPr>
          <w:rFonts w:cs="Times New Roman" w:ascii="Times New Roman" w:hAnsi="Times New Roman"/>
          <w:sz w:val="24"/>
          <w:szCs w:val="28"/>
        </w:rPr>
        <w:t>Таблица 25.</w:t>
      </w:r>
    </w:p>
    <w:p>
      <w:pPr>
        <w:pStyle w:val="Normal"/>
        <w:spacing w:lineRule="auto" w:line="240" w:before="0" w:after="0"/>
        <w:ind w:firstLine="567"/>
        <w:jc w:val="center"/>
        <w:rPr>
          <w:rFonts w:ascii="Times New Roman" w:hAnsi="Times New Roman" w:cs="Times New Roman"/>
          <w:spacing w:val="-2"/>
          <w:sz w:val="24"/>
          <w:szCs w:val="28"/>
        </w:rPr>
      </w:pPr>
      <w:r>
        <w:rPr>
          <w:rFonts w:cs="Times New Roman" w:ascii="Times New Roman" w:hAnsi="Times New Roman"/>
          <w:sz w:val="24"/>
          <w:szCs w:val="28"/>
        </w:rPr>
        <w:t xml:space="preserve">Нормы накопления ТКО от объектов жилищного фонда и </w:t>
      </w:r>
      <w:r>
        <w:rPr>
          <w:rFonts w:cs="Times New Roman" w:ascii="Times New Roman" w:hAnsi="Times New Roman"/>
          <w:spacing w:val="-2"/>
          <w:sz w:val="24"/>
          <w:szCs w:val="28"/>
        </w:rPr>
        <w:t>организаций</w:t>
      </w:r>
    </w:p>
    <w:tbl>
      <w:tblPr>
        <w:tblW w:w="9629" w:type="dxa"/>
        <w:jc w:val="left"/>
        <w:tblInd w:w="35" w:type="dxa"/>
        <w:tblLayout w:type="fixed"/>
        <w:tblCellMar>
          <w:top w:w="0" w:type="dxa"/>
          <w:left w:w="5" w:type="dxa"/>
          <w:bottom w:w="0" w:type="dxa"/>
          <w:right w:w="5" w:type="dxa"/>
        </w:tblCellMar>
        <w:tblLook w:val="04a0"/>
      </w:tblPr>
      <w:tblGrid>
        <w:gridCol w:w="562"/>
        <w:gridCol w:w="4328"/>
        <w:gridCol w:w="2195"/>
        <w:gridCol w:w="2543"/>
      </w:tblGrid>
      <w:tr>
        <w:trPr>
          <w:trHeight w:val="40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20"/>
              <w:jc w:val="center"/>
              <w:rPr>
                <w:rFonts w:ascii="Times New Roman" w:hAnsi="Times New Roman" w:cs="Times New Roman"/>
                <w:bCs/>
                <w:spacing w:val="-10"/>
                <w:sz w:val="20"/>
                <w:szCs w:val="20"/>
              </w:rPr>
            </w:pPr>
            <w:r>
              <w:rPr>
                <w:rFonts w:cs="Times New Roman" w:ascii="Times New Roman" w:hAnsi="Times New Roman"/>
                <w:bCs/>
                <w:spacing w:val="-10"/>
                <w:sz w:val="20"/>
                <w:szCs w:val="20"/>
              </w:rPr>
              <w:t>№</w:t>
            </w:r>
          </w:p>
          <w:p>
            <w:pPr>
              <w:pStyle w:val="Normal"/>
              <w:spacing w:lineRule="auto" w:line="240" w:before="0" w:after="0"/>
              <w:ind w:right="120"/>
              <w:jc w:val="center"/>
              <w:rPr>
                <w:rFonts w:ascii="Times New Roman" w:hAnsi="Times New Roman" w:cs="Times New Roman"/>
                <w:bCs/>
                <w:spacing w:val="-4"/>
                <w:sz w:val="20"/>
                <w:szCs w:val="20"/>
              </w:rPr>
            </w:pPr>
            <w:r>
              <w:rPr>
                <w:rFonts w:cs="Times New Roman" w:ascii="Times New Roman" w:hAnsi="Times New Roman"/>
                <w:bCs/>
                <w:spacing w:val="-4"/>
                <w:sz w:val="20"/>
                <w:szCs w:val="20"/>
              </w:rPr>
              <w:t>п/п</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bCs/>
                <w:sz w:val="20"/>
                <w:szCs w:val="20"/>
              </w:rPr>
            </w:pPr>
            <w:r>
              <w:rPr>
                <w:rFonts w:cs="Times New Roman" w:ascii="Times New Roman" w:hAnsi="Times New Roman"/>
                <w:bCs/>
                <w:sz w:val="20"/>
                <w:szCs w:val="20"/>
              </w:rPr>
              <w:t>Наименование объекта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0"/>
              <w:jc w:val="center"/>
              <w:rPr>
                <w:rFonts w:ascii="Times New Roman" w:hAnsi="Times New Roman" w:cs="Times New Roman"/>
                <w:bCs/>
                <w:sz w:val="20"/>
                <w:szCs w:val="20"/>
              </w:rPr>
            </w:pPr>
            <w:r>
              <w:rPr>
                <w:rFonts w:cs="Times New Roman" w:ascii="Times New Roman" w:hAnsi="Times New Roman"/>
                <w:bCs/>
                <w:sz w:val="20"/>
                <w:szCs w:val="20"/>
              </w:rPr>
              <w:t>Единица измерения</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0"/>
              <w:jc w:val="center"/>
              <w:rPr>
                <w:rFonts w:ascii="Times New Roman" w:hAnsi="Times New Roman" w:cs="Times New Roman"/>
                <w:bCs/>
                <w:spacing w:val="-6"/>
                <w:sz w:val="20"/>
                <w:szCs w:val="20"/>
              </w:rPr>
            </w:pPr>
            <w:r>
              <w:rPr>
                <w:rFonts w:cs="Times New Roman" w:ascii="Times New Roman" w:hAnsi="Times New Roman"/>
                <w:bCs/>
                <w:spacing w:val="-2"/>
                <w:sz w:val="20"/>
                <w:szCs w:val="20"/>
              </w:rPr>
              <w:t xml:space="preserve">Среднегодовой </w:t>
            </w:r>
            <w:r>
              <w:rPr>
                <w:rFonts w:cs="Times New Roman" w:ascii="Times New Roman" w:hAnsi="Times New Roman"/>
                <w:bCs/>
                <w:sz w:val="20"/>
                <w:szCs w:val="20"/>
              </w:rPr>
              <w:t>норматив накопления,</w:t>
            </w:r>
            <w:r>
              <w:rPr>
                <w:rFonts w:cs="Times New Roman" w:ascii="Times New Roman" w:hAnsi="Times New Roman"/>
                <w:bCs/>
                <w:spacing w:val="-6"/>
                <w:position w:val="-8"/>
                <w:sz w:val="20"/>
                <w:szCs w:val="20"/>
              </w:rPr>
              <w:t xml:space="preserve"> м</w:t>
            </w:r>
            <w:r>
              <w:rPr>
                <w:rFonts w:cs="Times New Roman" w:ascii="Times New Roman" w:hAnsi="Times New Roman"/>
                <w:bCs/>
                <w:spacing w:val="-6"/>
                <w:sz w:val="20"/>
                <w:szCs w:val="20"/>
              </w:rPr>
              <w:t>3</w:t>
            </w:r>
          </w:p>
        </w:tc>
      </w:tr>
      <w:tr>
        <w:trPr>
          <w:trHeight w:val="277"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1. Административные учреждения</w:t>
            </w:r>
          </w:p>
        </w:tc>
      </w:tr>
      <w:tr>
        <w:trPr>
          <w:trHeight w:val="31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46"/>
              <w:jc w:val="center"/>
              <w:rPr>
                <w:rFonts w:ascii="Times New Roman" w:hAnsi="Times New Roman" w:cs="Times New Roman"/>
                <w:spacing w:val="-4"/>
                <w:sz w:val="20"/>
                <w:szCs w:val="20"/>
              </w:rPr>
            </w:pPr>
            <w:r>
              <w:rPr>
                <w:rFonts w:cs="Times New Roman" w:ascii="Times New Roman" w:hAnsi="Times New Roman"/>
                <w:spacing w:val="-4"/>
                <w:sz w:val="20"/>
                <w:szCs w:val="20"/>
              </w:rPr>
              <w:t>1.1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32"/>
              <w:rPr>
                <w:rFonts w:ascii="Times New Roman" w:hAnsi="Times New Roman" w:cs="Times New Roman"/>
                <w:sz w:val="20"/>
                <w:szCs w:val="20"/>
              </w:rPr>
            </w:pPr>
            <w:r>
              <w:rPr>
                <w:rFonts w:cs="Times New Roman" w:ascii="Times New Roman" w:hAnsi="Times New Roman"/>
                <w:spacing w:val="-2"/>
                <w:sz w:val="20"/>
                <w:szCs w:val="20"/>
              </w:rPr>
              <w:t xml:space="preserve">Научно-исследовательские, </w:t>
            </w:r>
            <w:r>
              <w:rPr>
                <w:rFonts w:cs="Times New Roman" w:ascii="Times New Roman" w:hAnsi="Times New Roman"/>
                <w:sz w:val="20"/>
                <w:szCs w:val="20"/>
              </w:rPr>
              <w:t>проектные институты и конструкторские бюро</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 общ.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
              <w:jc w:val="center"/>
              <w:rPr>
                <w:rFonts w:ascii="Times New Roman" w:hAnsi="Times New Roman" w:cs="Times New Roman"/>
                <w:spacing w:val="-2"/>
                <w:sz w:val="20"/>
                <w:szCs w:val="20"/>
              </w:rPr>
            </w:pPr>
            <w:r>
              <w:rPr>
                <w:rFonts w:cs="Times New Roman" w:ascii="Times New Roman" w:hAnsi="Times New Roman"/>
                <w:spacing w:val="-2"/>
                <w:sz w:val="20"/>
                <w:szCs w:val="20"/>
              </w:rPr>
              <w:t>0,0557</w:t>
            </w:r>
          </w:p>
        </w:tc>
      </w:tr>
      <w:tr>
        <w:trPr>
          <w:trHeight w:val="324"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146"/>
              <w:jc w:val="center"/>
              <w:rPr>
                <w:rFonts w:ascii="Times New Roman" w:hAnsi="Times New Roman" w:cs="Times New Roman"/>
                <w:spacing w:val="-4"/>
                <w:sz w:val="20"/>
                <w:szCs w:val="20"/>
              </w:rPr>
            </w:pPr>
            <w:r>
              <w:rPr>
                <w:rFonts w:cs="Times New Roman" w:ascii="Times New Roman" w:hAnsi="Times New Roman"/>
                <w:spacing w:val="-4"/>
                <w:sz w:val="20"/>
                <w:szCs w:val="20"/>
              </w:rPr>
              <w:t>1.2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rPr>
                <w:rFonts w:ascii="Times New Roman" w:hAnsi="Times New Roman" w:cs="Times New Roman"/>
                <w:sz w:val="20"/>
                <w:szCs w:val="20"/>
              </w:rPr>
            </w:pPr>
            <w:r>
              <w:rPr>
                <w:rFonts w:cs="Times New Roman" w:ascii="Times New Roman" w:hAnsi="Times New Roman"/>
                <w:sz w:val="20"/>
                <w:szCs w:val="20"/>
              </w:rPr>
              <w:t>Банки, финансовые учреждения</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на 1м кв. общ.</w:t>
            </w:r>
          </w:p>
          <w:p>
            <w:pPr>
              <w:pStyle w:val="Normal"/>
              <w:spacing w:lineRule="auto" w:line="240" w:before="0" w:after="0"/>
              <w:ind w:right="67"/>
              <w:jc w:val="center"/>
              <w:rPr>
                <w:rFonts w:ascii="Times New Roman" w:hAnsi="Times New Roman" w:cs="Times New Roman"/>
                <w:spacing w:val="-2"/>
                <w:sz w:val="20"/>
                <w:szCs w:val="20"/>
              </w:rPr>
            </w:pP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4" w:after="0"/>
              <w:ind w:right="-9"/>
              <w:jc w:val="center"/>
              <w:rPr>
                <w:rFonts w:ascii="Times New Roman" w:hAnsi="Times New Roman" w:cs="Times New Roman"/>
                <w:spacing w:val="-2"/>
                <w:sz w:val="20"/>
                <w:szCs w:val="20"/>
              </w:rPr>
            </w:pPr>
            <w:r>
              <w:rPr>
                <w:rFonts w:cs="Times New Roman" w:ascii="Times New Roman" w:hAnsi="Times New Roman"/>
                <w:spacing w:val="-2"/>
                <w:sz w:val="20"/>
                <w:szCs w:val="20"/>
              </w:rPr>
              <w:t>0,0896</w:t>
            </w:r>
          </w:p>
        </w:tc>
      </w:tr>
      <w:tr>
        <w:trPr>
          <w:trHeight w:val="332"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146"/>
              <w:jc w:val="center"/>
              <w:rPr>
                <w:rFonts w:ascii="Times New Roman" w:hAnsi="Times New Roman" w:cs="Times New Roman"/>
                <w:spacing w:val="-4"/>
                <w:sz w:val="20"/>
                <w:szCs w:val="20"/>
              </w:rPr>
            </w:pPr>
            <w:r>
              <w:rPr>
                <w:rFonts w:cs="Times New Roman" w:ascii="Times New Roman" w:hAnsi="Times New Roman"/>
                <w:spacing w:val="-4"/>
                <w:sz w:val="20"/>
                <w:szCs w:val="20"/>
              </w:rPr>
              <w:t>1.3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rPr>
                <w:rFonts w:ascii="Times New Roman" w:hAnsi="Times New Roman" w:cs="Times New Roman"/>
                <w:sz w:val="20"/>
                <w:szCs w:val="20"/>
              </w:rPr>
            </w:pPr>
            <w:r>
              <w:rPr>
                <w:rFonts w:cs="Times New Roman" w:ascii="Times New Roman" w:hAnsi="Times New Roman"/>
                <w:sz w:val="20"/>
                <w:szCs w:val="20"/>
              </w:rPr>
              <w:t>Отделение связи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на1мкв.общ.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9"/>
              <w:jc w:val="center"/>
              <w:rPr>
                <w:rFonts w:ascii="Times New Roman" w:hAnsi="Times New Roman" w:cs="Times New Roman"/>
                <w:spacing w:val="-2"/>
                <w:sz w:val="20"/>
                <w:szCs w:val="20"/>
              </w:rPr>
            </w:pPr>
            <w:r>
              <w:rPr>
                <w:rFonts w:cs="Times New Roman" w:ascii="Times New Roman" w:hAnsi="Times New Roman"/>
                <w:spacing w:val="-2"/>
                <w:sz w:val="20"/>
                <w:szCs w:val="20"/>
              </w:rPr>
              <w:t>0,0696</w:t>
            </w:r>
          </w:p>
        </w:tc>
      </w:tr>
      <w:tr>
        <w:trPr>
          <w:trHeight w:val="32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ind w:right="146"/>
              <w:jc w:val="center"/>
              <w:rPr>
                <w:rFonts w:ascii="Times New Roman" w:hAnsi="Times New Roman" w:cs="Times New Roman"/>
                <w:spacing w:val="-4"/>
                <w:sz w:val="20"/>
                <w:szCs w:val="20"/>
              </w:rPr>
            </w:pPr>
            <w:r>
              <w:rPr>
                <w:rFonts w:cs="Times New Roman" w:ascii="Times New Roman" w:hAnsi="Times New Roman"/>
                <w:spacing w:val="-4"/>
                <w:sz w:val="20"/>
                <w:szCs w:val="20"/>
              </w:rPr>
              <w:t>1.4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z w:val="20"/>
                <w:szCs w:val="20"/>
              </w:rPr>
              <w:t xml:space="preserve">Административные, офисные </w:t>
            </w:r>
            <w:r>
              <w:rPr>
                <w:rFonts w:cs="Times New Roman" w:ascii="Times New Roman" w:hAnsi="Times New Roman"/>
                <w:spacing w:val="-2"/>
                <w:sz w:val="20"/>
                <w:szCs w:val="20"/>
              </w:rPr>
              <w:t>учреждения</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на 1м кв. общ.</w:t>
            </w:r>
          </w:p>
          <w:p>
            <w:pPr>
              <w:pStyle w:val="Normal"/>
              <w:spacing w:lineRule="auto" w:line="240" w:before="0" w:after="0"/>
              <w:ind w:right="67"/>
              <w:jc w:val="center"/>
              <w:rPr>
                <w:rFonts w:ascii="Times New Roman" w:hAnsi="Times New Roman" w:cs="Times New Roman"/>
                <w:spacing w:val="-2"/>
                <w:sz w:val="20"/>
                <w:szCs w:val="20"/>
              </w:rPr>
            </w:pP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1" w:after="0"/>
              <w:ind w:right="-9"/>
              <w:jc w:val="center"/>
              <w:rPr>
                <w:rFonts w:ascii="Times New Roman" w:hAnsi="Times New Roman" w:cs="Times New Roman"/>
                <w:spacing w:val="-2"/>
                <w:sz w:val="20"/>
                <w:szCs w:val="20"/>
              </w:rPr>
            </w:pPr>
            <w:r>
              <w:rPr>
                <w:rFonts w:cs="Times New Roman" w:ascii="Times New Roman" w:hAnsi="Times New Roman"/>
                <w:spacing w:val="-2"/>
                <w:sz w:val="20"/>
                <w:szCs w:val="20"/>
              </w:rPr>
              <w:t>0,077</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2. Организации торговли</w:t>
            </w:r>
          </w:p>
        </w:tc>
      </w:tr>
      <w:tr>
        <w:trPr>
          <w:trHeight w:val="38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3"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Продовольственные магазины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9"/>
              <w:jc w:val="center"/>
              <w:rPr>
                <w:rFonts w:ascii="Times New Roman" w:hAnsi="Times New Roman" w:cs="Times New Roman"/>
                <w:sz w:val="20"/>
                <w:szCs w:val="20"/>
              </w:rPr>
            </w:pPr>
            <w:r>
              <w:rPr>
                <w:rFonts w:cs="Times New Roman" w:ascii="Times New Roman" w:hAnsi="Times New Roman"/>
                <w:sz w:val="20"/>
                <w:szCs w:val="20"/>
              </w:rPr>
              <w:t>на 1м кв. торг.</w:t>
            </w:r>
          </w:p>
          <w:p>
            <w:pPr>
              <w:pStyle w:val="Normal"/>
              <w:spacing w:lineRule="auto" w:line="240" w:before="0" w:after="0"/>
              <w:ind w:right="67"/>
              <w:jc w:val="center"/>
              <w:rPr>
                <w:rFonts w:ascii="Times New Roman" w:hAnsi="Times New Roman" w:cs="Times New Roman"/>
                <w:spacing w:val="-2"/>
                <w:sz w:val="20"/>
                <w:szCs w:val="20"/>
              </w:rPr>
            </w:pP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1,24</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Промтоварные магазины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9"/>
              <w:jc w:val="center"/>
              <w:rPr>
                <w:rFonts w:ascii="Times New Roman" w:hAnsi="Times New Roman" w:cs="Times New Roman"/>
                <w:sz w:val="20"/>
                <w:szCs w:val="20"/>
              </w:rPr>
            </w:pPr>
            <w:r>
              <w:rPr>
                <w:rFonts w:cs="Times New Roman" w:ascii="Times New Roman" w:hAnsi="Times New Roman"/>
                <w:sz w:val="20"/>
                <w:szCs w:val="20"/>
              </w:rPr>
              <w:t>на 1м кв. торг.</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0,68</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7"/>
              <w:jc w:val="center"/>
              <w:rPr>
                <w:rFonts w:ascii="Times New Roman" w:hAnsi="Times New Roman" w:cs="Times New Roman"/>
                <w:spacing w:val="-2"/>
                <w:sz w:val="20"/>
                <w:szCs w:val="20"/>
              </w:rPr>
            </w:pP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24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pacing w:val="-2"/>
                <w:sz w:val="20"/>
                <w:szCs w:val="20"/>
              </w:rPr>
            </w:pPr>
            <w:r>
              <w:rPr>
                <w:rFonts w:cs="Times New Roman" w:ascii="Times New Roman" w:hAnsi="Times New Roman"/>
                <w:spacing w:val="-2"/>
                <w:sz w:val="20"/>
                <w:szCs w:val="20"/>
              </w:rPr>
              <w:t>Павильоны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2,36</w:t>
            </w:r>
          </w:p>
        </w:tc>
      </w:tr>
      <w:tr>
        <w:trPr>
          <w:trHeight w:val="27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4"/>
                <w:sz w:val="20"/>
                <w:szCs w:val="20"/>
              </w:rPr>
            </w:pPr>
            <w:r>
              <w:rPr>
                <w:rFonts w:cs="Times New Roman" w:ascii="Times New Roman" w:hAnsi="Times New Roman"/>
                <w:spacing w:val="-4"/>
                <w:sz w:val="20"/>
                <w:szCs w:val="20"/>
              </w:rPr>
              <w:t>Лотки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9"/>
              <w:jc w:val="center"/>
              <w:rPr>
                <w:rFonts w:ascii="Times New Roman" w:hAnsi="Times New Roman" w:cs="Times New Roman"/>
                <w:sz w:val="20"/>
                <w:szCs w:val="20"/>
              </w:rPr>
            </w:pPr>
            <w:r>
              <w:rPr>
                <w:rFonts w:cs="Times New Roman" w:ascii="Times New Roman" w:hAnsi="Times New Roman"/>
                <w:sz w:val="20"/>
                <w:szCs w:val="20"/>
              </w:rPr>
              <w:t>1 торговое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2,19</w:t>
            </w:r>
          </w:p>
        </w:tc>
      </w:tr>
      <w:tr>
        <w:trPr>
          <w:trHeight w:val="282"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2.5</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Палатки, киоски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2,465</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2.6</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Торговля с машин</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торговое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3,9</w:t>
            </w:r>
          </w:p>
        </w:tc>
      </w:tr>
      <w:tr>
        <w:trPr>
          <w:trHeight w:val="261"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2.7</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Супермаркеты (универмаги)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0,58</w:t>
            </w:r>
          </w:p>
        </w:tc>
      </w:tr>
      <w:tr>
        <w:trPr>
          <w:trHeight w:val="138"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2.8</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Рынки продовольственные</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0,83</w:t>
            </w:r>
          </w:p>
        </w:tc>
      </w:tr>
      <w:tr>
        <w:trPr>
          <w:trHeight w:val="198"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5"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2.9</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Рынки промтоварные</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0,69</w:t>
            </w:r>
          </w:p>
        </w:tc>
      </w:tr>
      <w:tr>
        <w:trPr>
          <w:trHeight w:val="273"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5"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2.10</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Склады, базы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на1мкв.торг.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0,23</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3.Организации транспортной инфраструктуры</w:t>
            </w:r>
          </w:p>
        </w:tc>
      </w:tr>
      <w:tr>
        <w:trPr>
          <w:trHeight w:val="28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47"/>
              <w:jc w:val="both"/>
              <w:rPr>
                <w:rFonts w:ascii="Times New Roman" w:hAnsi="Times New Roman" w:cs="Times New Roman"/>
                <w:spacing w:val="-2"/>
                <w:sz w:val="20"/>
                <w:szCs w:val="20"/>
              </w:rPr>
            </w:pPr>
            <w:r>
              <w:rPr>
                <w:rFonts w:cs="Times New Roman" w:ascii="Times New Roman" w:hAnsi="Times New Roman"/>
                <w:sz w:val="20"/>
                <w:szCs w:val="20"/>
              </w:rPr>
              <w:t xml:space="preserve">Автомастерские, шиномонтажные мастерские, станции технического </w:t>
            </w:r>
            <w:r>
              <w:rPr>
                <w:rFonts w:cs="Times New Roman" w:ascii="Times New Roman" w:hAnsi="Times New Roman"/>
                <w:spacing w:val="-2"/>
                <w:sz w:val="20"/>
                <w:szCs w:val="20"/>
              </w:rPr>
              <w:t>обслуживания</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1"/>
              <w:jc w:val="center"/>
              <w:rPr>
                <w:rFonts w:ascii="Times New Roman" w:hAnsi="Times New Roman" w:cs="Times New Roman"/>
                <w:sz w:val="20"/>
                <w:szCs w:val="20"/>
              </w:rPr>
            </w:pPr>
            <w:r>
              <w:rPr>
                <w:rFonts w:cs="Times New Roman" w:ascii="Times New Roman" w:hAnsi="Times New Roman"/>
                <w:sz w:val="20"/>
                <w:szCs w:val="20"/>
              </w:rPr>
              <w:t>1 машино-место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5"/>
              <w:jc w:val="center"/>
              <w:rPr>
                <w:rFonts w:ascii="Times New Roman" w:hAnsi="Times New Roman" w:cs="Times New Roman"/>
                <w:spacing w:val="-2"/>
                <w:sz w:val="20"/>
                <w:szCs w:val="20"/>
              </w:rPr>
            </w:pPr>
            <w:r>
              <w:rPr>
                <w:rFonts w:cs="Times New Roman" w:ascii="Times New Roman" w:hAnsi="Times New Roman"/>
                <w:spacing w:val="-2"/>
                <w:sz w:val="20"/>
                <w:szCs w:val="20"/>
              </w:rPr>
              <w:t>0,864</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Автозаправочные станции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машино-место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2"/>
                <w:sz w:val="20"/>
                <w:szCs w:val="20"/>
              </w:rPr>
            </w:pPr>
            <w:r>
              <w:rPr>
                <w:rFonts w:cs="Times New Roman" w:ascii="Times New Roman" w:hAnsi="Times New Roman"/>
                <w:spacing w:val="-2"/>
                <w:sz w:val="20"/>
                <w:szCs w:val="20"/>
              </w:rPr>
              <w:t>0,815</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Автостоянки и парковки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машино-место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4"/>
                <w:sz w:val="20"/>
                <w:szCs w:val="20"/>
              </w:rPr>
            </w:pPr>
            <w:r>
              <w:rPr>
                <w:rFonts w:cs="Times New Roman" w:ascii="Times New Roman" w:hAnsi="Times New Roman"/>
                <w:spacing w:val="-4"/>
                <w:sz w:val="20"/>
                <w:szCs w:val="20"/>
              </w:rPr>
              <w:t>0,34</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Гаражи, парковки закрытого типа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машино-место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4"/>
                <w:sz w:val="20"/>
                <w:szCs w:val="20"/>
              </w:rPr>
            </w:pPr>
            <w:r>
              <w:rPr>
                <w:rFonts w:cs="Times New Roman" w:ascii="Times New Roman" w:hAnsi="Times New Roman"/>
                <w:spacing w:val="-4"/>
                <w:sz w:val="20"/>
                <w:szCs w:val="20"/>
              </w:rPr>
              <w:t>0,49</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3.5</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pacing w:val="-2"/>
                <w:sz w:val="20"/>
                <w:szCs w:val="20"/>
              </w:rPr>
              <w:t>Автомойки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машино-место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2"/>
                <w:sz w:val="20"/>
                <w:szCs w:val="20"/>
              </w:rPr>
            </w:pPr>
            <w:r>
              <w:rPr>
                <w:rFonts w:cs="Times New Roman" w:ascii="Times New Roman" w:hAnsi="Times New Roman"/>
                <w:spacing w:val="-2"/>
                <w:sz w:val="20"/>
                <w:szCs w:val="20"/>
              </w:rPr>
              <w:t>0,816</w:t>
            </w:r>
          </w:p>
        </w:tc>
      </w:tr>
      <w:tr>
        <w:trPr>
          <w:trHeight w:val="270"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3.6</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железнодорожные и автовокзалы, аэропорты, речные порты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right="71"/>
              <w:jc w:val="center"/>
              <w:rPr>
                <w:rFonts w:ascii="Times New Roman" w:hAnsi="Times New Roman" w:cs="Times New Roman"/>
                <w:sz w:val="20"/>
                <w:szCs w:val="20"/>
              </w:rPr>
            </w:pPr>
            <w:r>
              <w:rPr>
                <w:rFonts w:cs="Times New Roman" w:ascii="Times New Roman" w:hAnsi="Times New Roman"/>
                <w:sz w:val="20"/>
                <w:szCs w:val="20"/>
              </w:rPr>
              <w:t>1 пассажир</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right="-15"/>
              <w:jc w:val="center"/>
              <w:rPr>
                <w:rFonts w:ascii="Times New Roman" w:hAnsi="Times New Roman" w:cs="Times New Roman"/>
                <w:spacing w:val="-2"/>
                <w:sz w:val="20"/>
                <w:szCs w:val="20"/>
              </w:rPr>
            </w:pPr>
            <w:r>
              <w:rPr>
                <w:rFonts w:cs="Times New Roman" w:ascii="Times New Roman" w:hAnsi="Times New Roman"/>
                <w:spacing w:val="-2"/>
                <w:sz w:val="20"/>
                <w:szCs w:val="20"/>
              </w:rPr>
              <w:t>0,00199</w:t>
            </w:r>
          </w:p>
        </w:tc>
      </w:tr>
      <w:tr>
        <w:trPr>
          <w:trHeight w:val="276"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4. Дошкольные и учебные организации</w:t>
            </w:r>
          </w:p>
        </w:tc>
      </w:tr>
      <w:tr>
        <w:trPr>
          <w:trHeight w:val="26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4.1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856"/>
              <w:rPr>
                <w:rFonts w:ascii="Times New Roman" w:hAnsi="Times New Roman" w:cs="Times New Roman"/>
                <w:spacing w:val="-2"/>
                <w:sz w:val="20"/>
                <w:szCs w:val="20"/>
              </w:rPr>
            </w:pPr>
            <w:r>
              <w:rPr>
                <w:rFonts w:cs="Times New Roman" w:ascii="Times New Roman" w:hAnsi="Times New Roman"/>
                <w:sz w:val="20"/>
                <w:szCs w:val="20"/>
              </w:rPr>
              <w:t xml:space="preserve">Дошкольные образовательные </w:t>
            </w:r>
            <w:r>
              <w:rPr>
                <w:rFonts w:cs="Times New Roman" w:ascii="Times New Roman" w:hAnsi="Times New Roman"/>
                <w:spacing w:val="-2"/>
                <w:sz w:val="20"/>
                <w:szCs w:val="20"/>
              </w:rPr>
              <w:t>организации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9"/>
              <w:jc w:val="center"/>
              <w:rPr>
                <w:rFonts w:ascii="Times New Roman" w:hAnsi="Times New Roman" w:cs="Times New Roman"/>
                <w:sz w:val="20"/>
                <w:szCs w:val="20"/>
              </w:rPr>
            </w:pPr>
            <w:r>
              <w:rPr>
                <w:rFonts w:cs="Times New Roman" w:ascii="Times New Roman" w:hAnsi="Times New Roman"/>
                <w:sz w:val="20"/>
                <w:szCs w:val="20"/>
              </w:rPr>
              <w:t>1 ребенок</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0,387</w:t>
            </w:r>
          </w:p>
        </w:tc>
      </w:tr>
      <w:tr>
        <w:trPr>
          <w:trHeight w:val="274"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4.2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Образовательные организации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учащийся</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0,249</w:t>
            </w:r>
          </w:p>
        </w:tc>
      </w:tr>
      <w:tr>
        <w:trPr>
          <w:trHeight w:val="99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4.3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7"/>
              <w:jc w:val="both"/>
              <w:rPr>
                <w:rFonts w:ascii="Times New Roman" w:hAnsi="Times New Roman" w:cs="Times New Roman"/>
                <w:sz w:val="20"/>
                <w:szCs w:val="20"/>
              </w:rPr>
            </w:pPr>
            <w:r>
              <w:rPr>
                <w:rFonts w:cs="Times New Roman" w:ascii="Times New Roman" w:hAnsi="Times New Roman"/>
                <w:sz w:val="20"/>
                <w:szCs w:val="20"/>
              </w:rPr>
              <w:t>Организации начального и среднего профессионального образования, высшего профессионального и послевузовского образования или иные организации, осуществляющее образовательный процесс</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1"/>
              <w:jc w:val="center"/>
              <w:rPr>
                <w:rFonts w:ascii="Times New Roman" w:hAnsi="Times New Roman" w:cs="Times New Roman"/>
                <w:sz w:val="20"/>
                <w:szCs w:val="20"/>
              </w:rPr>
            </w:pPr>
            <w:r>
              <w:rPr>
                <w:rFonts w:cs="Times New Roman" w:ascii="Times New Roman" w:hAnsi="Times New Roman"/>
                <w:sz w:val="20"/>
                <w:szCs w:val="20"/>
              </w:rPr>
              <w:t>1 учащийся</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0,325</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4.4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Детские дома, интернаты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1,255</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5. Культурно- развлекательные, спортивные организации</w:t>
            </w:r>
          </w:p>
        </w:tc>
      </w:tr>
      <w:tr>
        <w:trPr>
          <w:trHeight w:val="22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7"/>
              <w:rPr>
                <w:rFonts w:ascii="Times New Roman" w:hAnsi="Times New Roman" w:cs="Times New Roman"/>
                <w:sz w:val="20"/>
                <w:szCs w:val="20"/>
              </w:rPr>
            </w:pPr>
            <w:r>
              <w:rPr>
                <w:rFonts w:cs="Times New Roman" w:ascii="Times New Roman" w:hAnsi="Times New Roman"/>
                <w:sz w:val="20"/>
                <w:szCs w:val="20"/>
              </w:rPr>
              <w:t>Клубы, кинотеатры, концертные залы, театры, цирки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0,229</w:t>
            </w:r>
          </w:p>
        </w:tc>
      </w:tr>
      <w:tr>
        <w:trPr>
          <w:trHeight w:val="258"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Дворец культуры, дома творчества, дома культуры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0,2</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Библиотеки, архивы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0,229</w:t>
            </w:r>
          </w:p>
        </w:tc>
      </w:tr>
      <w:tr>
        <w:trPr>
          <w:trHeight w:val="27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Выставочные залы, музеи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0,084</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5.5</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Спортивные арены, стадионы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0,255</w:t>
            </w:r>
          </w:p>
        </w:tc>
      </w:tr>
      <w:tr>
        <w:trPr>
          <w:trHeight w:val="14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5.6</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856"/>
              <w:rPr>
                <w:rFonts w:ascii="Times New Roman" w:hAnsi="Times New Roman" w:cs="Times New Roman"/>
                <w:spacing w:val="-2"/>
                <w:sz w:val="20"/>
                <w:szCs w:val="20"/>
              </w:rPr>
            </w:pPr>
            <w:r>
              <w:rPr>
                <w:rFonts w:cs="Times New Roman" w:ascii="Times New Roman" w:hAnsi="Times New Roman"/>
                <w:sz w:val="20"/>
                <w:szCs w:val="20"/>
              </w:rPr>
              <w:t xml:space="preserve">Спортивные клубы, центры, </w:t>
            </w:r>
            <w:r>
              <w:rPr>
                <w:rFonts w:cs="Times New Roman" w:ascii="Times New Roman" w:hAnsi="Times New Roman"/>
                <w:spacing w:val="-2"/>
                <w:sz w:val="20"/>
                <w:szCs w:val="20"/>
              </w:rPr>
              <w:t>комплексы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0,37</w:t>
            </w:r>
          </w:p>
        </w:tc>
      </w:tr>
      <w:tr>
        <w:trPr>
          <w:trHeight w:val="348"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5.7</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Зоопарки, ботанические сады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z w:val="20"/>
                <w:szCs w:val="20"/>
              </w:rPr>
              <w:t xml:space="preserve">на1мкв.общ.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5" w:after="0"/>
              <w:jc w:val="center"/>
              <w:rPr>
                <w:rFonts w:ascii="Times New Roman" w:hAnsi="Times New Roman" w:cs="Times New Roman"/>
                <w:spacing w:val="-4"/>
                <w:sz w:val="20"/>
                <w:szCs w:val="20"/>
              </w:rPr>
            </w:pPr>
            <w:r>
              <w:rPr>
                <w:rFonts w:cs="Times New Roman" w:ascii="Times New Roman" w:hAnsi="Times New Roman"/>
                <w:spacing w:val="-4"/>
                <w:sz w:val="20"/>
                <w:szCs w:val="20"/>
              </w:rPr>
              <w:t>0,1</w:t>
            </w:r>
          </w:p>
        </w:tc>
      </w:tr>
      <w:tr>
        <w:trPr>
          <w:trHeight w:val="35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5.8</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Пансионаты, дома отдыха, туристические базы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1,78</w:t>
            </w:r>
          </w:p>
        </w:tc>
      </w:tr>
      <w:tr>
        <w:trPr>
          <w:trHeight w:val="274"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5.9</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Парки отдыха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0,00199</w:t>
            </w:r>
          </w:p>
        </w:tc>
      </w:tr>
      <w:tr>
        <w:trPr>
          <w:trHeight w:val="277"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6. Организации общественного питания</w:t>
            </w:r>
          </w:p>
        </w:tc>
      </w:tr>
      <w:tr>
        <w:trPr>
          <w:trHeight w:val="181"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6.1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z w:val="20"/>
                <w:szCs w:val="20"/>
              </w:rPr>
              <w:t xml:space="preserve">Кафе, рестораны, бары, закусочные, </w:t>
            </w:r>
            <w:r>
              <w:rPr>
                <w:rFonts w:cs="Times New Roman" w:ascii="Times New Roman" w:hAnsi="Times New Roman"/>
                <w:spacing w:val="-2"/>
                <w:sz w:val="20"/>
                <w:szCs w:val="20"/>
              </w:rPr>
              <w:t>столовые</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spacing w:val="-4"/>
                <w:sz w:val="20"/>
                <w:szCs w:val="20"/>
              </w:rPr>
            </w:pPr>
            <w:r>
              <w:rPr>
                <w:rFonts w:cs="Times New Roman" w:ascii="Times New Roman" w:hAnsi="Times New Roman"/>
                <w:spacing w:val="-4"/>
                <w:sz w:val="20"/>
                <w:szCs w:val="20"/>
              </w:rPr>
              <w:t>0,89</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7.Организации службы быта</w:t>
            </w:r>
          </w:p>
        </w:tc>
      </w:tr>
      <w:tr>
        <w:trPr>
          <w:trHeight w:val="24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Мастерские по ремонту бытовой и компьютерной техники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0,129</w:t>
            </w:r>
          </w:p>
        </w:tc>
      </w:tr>
      <w:tr>
        <w:trPr>
          <w:trHeight w:val="252"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7"/>
              <w:rPr>
                <w:rFonts w:ascii="Times New Roman" w:hAnsi="Times New Roman" w:cs="Times New Roman"/>
                <w:sz w:val="20"/>
                <w:szCs w:val="20"/>
              </w:rPr>
            </w:pPr>
            <w:r>
              <w:rPr>
                <w:rFonts w:cs="Times New Roman" w:ascii="Times New Roman" w:hAnsi="Times New Roman"/>
                <w:sz w:val="20"/>
                <w:szCs w:val="20"/>
              </w:rPr>
              <w:t>Мастерские по ремонту обуви, ключей, часов и прочее</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0,179</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Ремонт и пошив одежды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0,19</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Химчистки и прачечные</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 кв. общ. 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0,41</w:t>
            </w:r>
          </w:p>
        </w:tc>
      </w:tr>
      <w:tr>
        <w:trPr>
          <w:trHeight w:val="252"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7.5</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638"/>
              <w:jc w:val="both"/>
              <w:rPr>
                <w:rFonts w:ascii="Times New Roman" w:hAnsi="Times New Roman" w:cs="Times New Roman"/>
                <w:sz w:val="20"/>
                <w:szCs w:val="20"/>
              </w:rPr>
            </w:pPr>
            <w:r>
              <w:rPr>
                <w:rFonts w:cs="Times New Roman" w:ascii="Times New Roman" w:hAnsi="Times New Roman"/>
                <w:sz w:val="20"/>
                <w:szCs w:val="20"/>
              </w:rPr>
              <w:t>Парикмахерские, косметические салоны, салоны красоты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1,86</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7.6</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pacing w:val="-2"/>
                <w:sz w:val="20"/>
                <w:szCs w:val="20"/>
              </w:rPr>
              <w:t>Гостиницы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1,78</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7.7</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pacing w:val="-2"/>
                <w:sz w:val="20"/>
                <w:szCs w:val="20"/>
              </w:rPr>
              <w:t>Общежития</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1,66</w:t>
            </w:r>
          </w:p>
        </w:tc>
      </w:tr>
      <w:tr>
        <w:trPr>
          <w:trHeight w:val="27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7.8</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rPr>
                <w:rFonts w:ascii="Times New Roman" w:hAnsi="Times New Roman" w:cs="Times New Roman"/>
                <w:sz w:val="20"/>
                <w:szCs w:val="20"/>
              </w:rPr>
            </w:pPr>
            <w:r>
              <w:rPr>
                <w:rFonts w:cs="Times New Roman" w:ascii="Times New Roman" w:hAnsi="Times New Roman"/>
                <w:sz w:val="20"/>
                <w:szCs w:val="20"/>
              </w:rPr>
              <w:t>Бани, сауны</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4"/>
                <w:sz w:val="20"/>
                <w:szCs w:val="20"/>
              </w:rPr>
            </w:pPr>
            <w:r>
              <w:rPr>
                <w:rFonts w:cs="Times New Roman" w:ascii="Times New Roman" w:hAnsi="Times New Roman"/>
                <w:spacing w:val="-4"/>
                <w:sz w:val="20"/>
                <w:szCs w:val="20"/>
              </w:rPr>
              <w:t>1,43</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8. Организации и объекты в сфере похоронных услуг</w:t>
            </w:r>
          </w:p>
        </w:tc>
      </w:tr>
      <w:tr>
        <w:trPr>
          <w:trHeight w:val="27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8.1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rPr>
                <w:rFonts w:ascii="Times New Roman" w:hAnsi="Times New Roman" w:cs="Times New Roman"/>
                <w:spacing w:val="-2"/>
                <w:sz w:val="20"/>
                <w:szCs w:val="20"/>
              </w:rPr>
            </w:pPr>
            <w:r>
              <w:rPr>
                <w:rFonts w:cs="Times New Roman" w:ascii="Times New Roman" w:hAnsi="Times New Roman"/>
                <w:spacing w:val="-2"/>
                <w:sz w:val="20"/>
                <w:szCs w:val="20"/>
              </w:rPr>
              <w:t>Кладбища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spacing w:val="-2"/>
                <w:sz w:val="20"/>
                <w:szCs w:val="20"/>
              </w:rPr>
            </w:pPr>
            <w:r>
              <w:rPr>
                <w:rFonts w:cs="Times New Roman" w:ascii="Times New Roman" w:hAnsi="Times New Roman"/>
                <w:spacing w:val="-2"/>
                <w:sz w:val="20"/>
                <w:szCs w:val="20"/>
              </w:rPr>
              <w:t>0,045</w:t>
            </w:r>
          </w:p>
        </w:tc>
      </w:tr>
      <w:tr>
        <w:trPr>
          <w:trHeight w:val="378"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6"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8.2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107"/>
              <w:rPr>
                <w:rFonts w:ascii="Times New Roman" w:hAnsi="Times New Roman" w:cs="Times New Roman"/>
                <w:sz w:val="20"/>
                <w:szCs w:val="20"/>
              </w:rPr>
            </w:pPr>
            <w:r>
              <w:rPr>
                <w:rFonts w:cs="Times New Roman" w:ascii="Times New Roman" w:hAnsi="Times New Roman"/>
                <w:sz w:val="20"/>
                <w:szCs w:val="20"/>
              </w:rPr>
              <w:t>Организации, оказывающие ритуальные услуги</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pacing w:val="-2"/>
                <w:sz w:val="20"/>
                <w:szCs w:val="20"/>
              </w:rPr>
            </w:pPr>
            <w:r>
              <w:rPr>
                <w:rFonts w:cs="Times New Roman" w:ascii="Times New Roman" w:hAnsi="Times New Roman"/>
                <w:sz w:val="20"/>
                <w:szCs w:val="20"/>
              </w:rPr>
              <w:t xml:space="preserve">1кв.метробщей </w:t>
            </w:r>
            <w:r>
              <w:rPr>
                <w:rFonts w:cs="Times New Roman" w:ascii="Times New Roman" w:hAnsi="Times New Roman"/>
                <w:spacing w:val="-2"/>
                <w:sz w:val="20"/>
                <w:szCs w:val="20"/>
              </w:rPr>
              <w:t>площади</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6" w:after="0"/>
              <w:jc w:val="center"/>
              <w:rPr>
                <w:rFonts w:ascii="Times New Roman" w:hAnsi="Times New Roman" w:cs="Times New Roman"/>
                <w:spacing w:val="-2"/>
                <w:sz w:val="20"/>
                <w:szCs w:val="20"/>
              </w:rPr>
            </w:pPr>
            <w:r>
              <w:rPr>
                <w:rFonts w:cs="Times New Roman" w:ascii="Times New Roman" w:hAnsi="Times New Roman"/>
                <w:spacing w:val="-2"/>
                <w:sz w:val="20"/>
                <w:szCs w:val="20"/>
              </w:rPr>
              <w:t>0,0995</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9. Садоводческие кооперативы, садово-огородные товарищества</w:t>
            </w:r>
          </w:p>
        </w:tc>
      </w:tr>
      <w:tr>
        <w:trPr>
          <w:trHeight w:val="373"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7"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9.1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08"/>
              <w:jc w:val="both"/>
              <w:rPr>
                <w:rFonts w:ascii="Times New Roman" w:hAnsi="Times New Roman" w:cs="Times New Roman"/>
                <w:sz w:val="20"/>
                <w:szCs w:val="20"/>
              </w:rPr>
            </w:pPr>
            <w:r>
              <w:rPr>
                <w:rFonts w:cs="Times New Roman" w:ascii="Times New Roman" w:hAnsi="Times New Roman"/>
                <w:sz w:val="20"/>
                <w:szCs w:val="20"/>
              </w:rPr>
              <w:t>Садоводческие кооперативы, садоводо - огородные товарищества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7" w:after="0"/>
              <w:ind w:right="71"/>
              <w:jc w:val="center"/>
              <w:rPr>
                <w:rFonts w:ascii="Times New Roman" w:hAnsi="Times New Roman" w:cs="Times New Roman"/>
                <w:sz w:val="20"/>
                <w:szCs w:val="20"/>
              </w:rPr>
            </w:pPr>
            <w:r>
              <w:rPr>
                <w:rFonts w:cs="Times New Roman" w:ascii="Times New Roman" w:hAnsi="Times New Roman"/>
                <w:sz w:val="20"/>
                <w:szCs w:val="20"/>
              </w:rPr>
              <w:t>1 место</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7" w:after="0"/>
              <w:ind w:right="-15"/>
              <w:jc w:val="center"/>
              <w:rPr>
                <w:rFonts w:ascii="Times New Roman" w:hAnsi="Times New Roman" w:cs="Times New Roman"/>
                <w:spacing w:val="-2"/>
                <w:sz w:val="20"/>
                <w:szCs w:val="20"/>
              </w:rPr>
            </w:pPr>
            <w:r>
              <w:rPr>
                <w:rFonts w:cs="Times New Roman" w:ascii="Times New Roman" w:hAnsi="Times New Roman"/>
                <w:spacing w:val="-2"/>
                <w:sz w:val="20"/>
                <w:szCs w:val="20"/>
              </w:rPr>
              <w:t>0,045</w:t>
            </w:r>
          </w:p>
        </w:tc>
      </w:tr>
      <w:tr>
        <w:trPr>
          <w:trHeight w:val="274"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10. Жилищный фонд</w:t>
            </w:r>
          </w:p>
        </w:tc>
      </w:tr>
      <w:tr>
        <w:trPr>
          <w:trHeight w:val="277"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jc w:val="center"/>
              <w:rPr>
                <w:rFonts w:ascii="Times New Roman" w:hAnsi="Times New Roman" w:cs="Times New Roman"/>
                <w:bCs/>
                <w:sz w:val="20"/>
                <w:szCs w:val="20"/>
              </w:rPr>
            </w:pPr>
            <w:r>
              <w:rPr>
                <w:rFonts w:cs="Times New Roman" w:ascii="Times New Roman" w:hAnsi="Times New Roman"/>
                <w:bCs/>
                <w:sz w:val="20"/>
                <w:szCs w:val="20"/>
              </w:rPr>
              <w:t>Сельские населенные пункты с численностью населения более 10 тыс. чел</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10.1</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Многоквартирные дома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7" w:after="0"/>
              <w:ind w:right="69"/>
              <w:jc w:val="center"/>
              <w:rPr>
                <w:rFonts w:ascii="Times New Roman" w:hAnsi="Times New Roman" w:cs="Times New Roman"/>
                <w:spacing w:val="-6"/>
                <w:sz w:val="20"/>
                <w:szCs w:val="20"/>
              </w:rPr>
            </w:pPr>
            <w:r>
              <w:rPr>
                <w:rFonts w:cs="Times New Roman" w:ascii="Times New Roman" w:hAnsi="Times New Roman"/>
                <w:spacing w:val="-6"/>
                <w:position w:val="-9"/>
                <w:sz w:val="20"/>
                <w:szCs w:val="20"/>
              </w:rPr>
              <w:t>м</w:t>
            </w:r>
            <w:r>
              <w:rPr>
                <w:rFonts w:cs="Times New Roman" w:ascii="Times New Roman" w:hAnsi="Times New Roman"/>
                <w:spacing w:val="-6"/>
                <w:sz w:val="20"/>
                <w:szCs w:val="20"/>
              </w:rPr>
              <w:t>3</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1,9</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10.2</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Индивидуальный жилищный фонд</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7" w:after="0"/>
              <w:ind w:right="69"/>
              <w:jc w:val="center"/>
              <w:rPr>
                <w:rFonts w:ascii="Times New Roman" w:hAnsi="Times New Roman" w:cs="Times New Roman"/>
                <w:spacing w:val="-6"/>
                <w:sz w:val="20"/>
                <w:szCs w:val="20"/>
              </w:rPr>
            </w:pPr>
            <w:r>
              <w:rPr>
                <w:rFonts w:cs="Times New Roman" w:ascii="Times New Roman" w:hAnsi="Times New Roman"/>
                <w:spacing w:val="-6"/>
                <w:position w:val="-9"/>
                <w:sz w:val="20"/>
                <w:szCs w:val="20"/>
              </w:rPr>
              <w:t>м</w:t>
            </w:r>
            <w:r>
              <w:rPr>
                <w:rFonts w:cs="Times New Roman" w:ascii="Times New Roman" w:hAnsi="Times New Roman"/>
                <w:spacing w:val="-6"/>
                <w:sz w:val="20"/>
                <w:szCs w:val="20"/>
              </w:rPr>
              <w:t>3</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2,3</w:t>
            </w:r>
          </w:p>
        </w:tc>
      </w:tr>
      <w:tr>
        <w:trPr>
          <w:trHeight w:val="275" w:hRule="atLeast"/>
        </w:trPr>
        <w:tc>
          <w:tcPr>
            <w:tcW w:w="962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20"/>
                <w:szCs w:val="20"/>
              </w:rPr>
            </w:pPr>
            <w:r>
              <w:rPr>
                <w:rFonts w:cs="Times New Roman" w:ascii="Times New Roman" w:hAnsi="Times New Roman"/>
                <w:bCs/>
                <w:sz w:val="20"/>
                <w:szCs w:val="20"/>
              </w:rPr>
              <w:t>Сельские населенные пункты с численностью населения менее 10 тыс. чел</w:t>
            </w:r>
          </w:p>
        </w:tc>
      </w:tr>
      <w:tr>
        <w:trPr>
          <w:trHeight w:val="27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10.3</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Многоквартирные дома</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7" w:after="0"/>
              <w:ind w:right="69"/>
              <w:jc w:val="center"/>
              <w:rPr>
                <w:rFonts w:ascii="Times New Roman" w:hAnsi="Times New Roman" w:cs="Times New Roman"/>
                <w:spacing w:val="-6"/>
                <w:sz w:val="20"/>
                <w:szCs w:val="20"/>
              </w:rPr>
            </w:pPr>
            <w:r>
              <w:rPr>
                <w:rFonts w:cs="Times New Roman" w:ascii="Times New Roman" w:hAnsi="Times New Roman"/>
                <w:spacing w:val="-6"/>
                <w:position w:val="-9"/>
                <w:sz w:val="20"/>
                <w:szCs w:val="20"/>
              </w:rPr>
              <w:t>м</w:t>
            </w:r>
            <w:r>
              <w:rPr>
                <w:rFonts w:cs="Times New Roman" w:ascii="Times New Roman" w:hAnsi="Times New Roman"/>
                <w:spacing w:val="-6"/>
                <w:sz w:val="20"/>
                <w:szCs w:val="20"/>
              </w:rPr>
              <w:t>3</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1,6</w:t>
            </w:r>
          </w:p>
        </w:tc>
      </w:tr>
      <w:tr>
        <w:trPr>
          <w:trHeight w:val="27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8"/>
              <w:jc w:val="center"/>
              <w:rPr>
                <w:rFonts w:ascii="Times New Roman" w:hAnsi="Times New Roman" w:cs="Times New Roman"/>
                <w:spacing w:val="-4"/>
                <w:sz w:val="20"/>
                <w:szCs w:val="20"/>
              </w:rPr>
            </w:pPr>
            <w:r>
              <w:rPr>
                <w:rFonts w:cs="Times New Roman" w:ascii="Times New Roman" w:hAnsi="Times New Roman"/>
                <w:spacing w:val="-4"/>
                <w:sz w:val="20"/>
                <w:szCs w:val="20"/>
              </w:rPr>
              <w:t>10.4</w:t>
            </w:r>
          </w:p>
        </w:tc>
        <w:tc>
          <w:tcPr>
            <w:tcW w:w="43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Индивидуальный жилищный фонд</w:t>
            </w:r>
          </w:p>
        </w:tc>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37" w:after="0"/>
              <w:ind w:right="69"/>
              <w:jc w:val="center"/>
              <w:rPr>
                <w:rFonts w:ascii="Times New Roman" w:hAnsi="Times New Roman" w:cs="Times New Roman"/>
                <w:spacing w:val="-6"/>
                <w:sz w:val="20"/>
                <w:szCs w:val="20"/>
              </w:rPr>
            </w:pPr>
            <w:r>
              <w:rPr>
                <w:rFonts w:cs="Times New Roman" w:ascii="Times New Roman" w:hAnsi="Times New Roman"/>
                <w:spacing w:val="-6"/>
                <w:position w:val="-9"/>
                <w:sz w:val="20"/>
                <w:szCs w:val="20"/>
              </w:rPr>
              <w:t>м</w:t>
            </w:r>
            <w:r>
              <w:rPr>
                <w:rFonts w:cs="Times New Roman" w:ascii="Times New Roman" w:hAnsi="Times New Roman"/>
                <w:spacing w:val="-6"/>
                <w:sz w:val="20"/>
                <w:szCs w:val="20"/>
              </w:rPr>
              <w:t>3</w:t>
            </w:r>
          </w:p>
        </w:tc>
        <w:tc>
          <w:tcPr>
            <w:tcW w:w="2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1,5</w:t>
            </w:r>
          </w:p>
        </w:tc>
      </w:tr>
    </w:tbl>
    <w:p>
      <w:pPr>
        <w:pStyle w:val="Heading1"/>
        <w:spacing w:lineRule="auto" w:line="240"/>
        <w:jc w:val="center"/>
        <w:rPr>
          <w:rFonts w:ascii="Calibri" w:hAnsi="Calibri"/>
          <w:color w:val="auto"/>
          <w:sz w:val="22"/>
          <w:szCs w:val="22"/>
        </w:rPr>
      </w:pPr>
      <w:r>
        <w:rPr>
          <w:rFonts w:ascii="Calibri" w:hAnsi="Calibri"/>
          <w:color w:themeColor="accent1" w:themeShade="bf" w:val="auto"/>
          <w:sz w:val="22"/>
          <w:szCs w:val="22"/>
        </w:rPr>
      </w:r>
      <w:r>
        <w:br w:type="page"/>
      </w:r>
    </w:p>
    <w:p>
      <w:pPr>
        <w:pStyle w:val="Heading1"/>
        <w:spacing w:lineRule="auto" w:line="240" w:before="0" w:after="0"/>
        <w:jc w:val="center"/>
        <w:rPr>
          <w:rStyle w:val="1"/>
          <w:rFonts w:eastAsia="Calibri"/>
          <w:color w:val="auto"/>
        </w:rPr>
      </w:pPr>
      <w:r>
        <w:rPr>
          <w:rFonts w:cs="Times New Roman" w:ascii="Times New Roman" w:hAnsi="Times New Roman"/>
          <w:bCs/>
          <w:color w:val="auto"/>
          <w:sz w:val="24"/>
          <w:szCs w:val="24"/>
        </w:rPr>
        <w:t>4</w:t>
      </w:r>
      <w:r>
        <w:rPr>
          <w:rStyle w:val="1"/>
          <w:rFonts w:eastAsia="Calibri"/>
          <w:bCs w:val="false"/>
          <w:color w:val="auto"/>
        </w:rPr>
        <w:t>.</w:t>
      </w:r>
      <w:bookmarkStart w:id="51" w:name="_Toc224805156"/>
      <w:r>
        <w:rPr>
          <w:rStyle w:val="1"/>
          <w:rFonts w:eastAsia="Calibri"/>
          <w:color w:val="auto"/>
        </w:rPr>
        <w:t>ПЕРЕЧЕНЬ МЕРОПРИЯТИЙ И ЦЕЛЕВЫХ ПОКАЗАТЕЛЕЙ</w:t>
      </w:r>
      <w:bookmarkEnd w:id="51"/>
    </w:p>
    <w:p>
      <w:pPr>
        <w:pStyle w:val="Normal"/>
        <w:spacing w:lineRule="auto" w:line="240" w:before="0" w:after="0"/>
        <w:rPr>
          <w:lang w:eastAsia="ru-RU"/>
        </w:rPr>
      </w:pPr>
      <w:r>
        <w:rPr>
          <w:lang w:eastAsia="ru-RU"/>
        </w:rPr>
      </w:r>
    </w:p>
    <w:p>
      <w:pPr>
        <w:pStyle w:val="Heading1"/>
        <w:spacing w:lineRule="auto" w:line="240" w:before="0" w:after="0"/>
        <w:ind w:firstLine="567"/>
        <w:rPr>
          <w:rFonts w:ascii="Times New Roman" w:hAnsi="Times New Roman" w:cs="Times New Roman"/>
          <w:bCs/>
          <w:color w:val="auto"/>
          <w:sz w:val="24"/>
          <w:szCs w:val="24"/>
        </w:rPr>
      </w:pPr>
      <w:bookmarkStart w:id="52" w:name="_Toc224805157"/>
      <w:r>
        <w:rPr>
          <w:rStyle w:val="2"/>
          <w:rFonts w:cs="Times New Roman" w:ascii="Times New Roman" w:hAnsi="Times New Roman"/>
          <w:bCs/>
          <w:color w:val="auto"/>
          <w:sz w:val="24"/>
          <w:szCs w:val="24"/>
        </w:rPr>
        <w:t>4.1. Мероприятия развития коммунальной инфраструктуры</w:t>
      </w:r>
      <w:bookmarkEnd w:id="52"/>
      <w:r>
        <w:rPr>
          <w:rStyle w:val="2"/>
          <w:rFonts w:cs="Times New Roman" w:ascii="Times New Roman" w:hAnsi="Times New Roman"/>
          <w:bCs/>
          <w:color w:val="auto"/>
          <w:sz w:val="24"/>
          <w:szCs w:val="24"/>
        </w:rPr>
        <w:t>.</w:t>
      </w:r>
    </w:p>
    <w:p>
      <w:pPr>
        <w:pStyle w:val="Normal"/>
        <w:spacing w:lineRule="auto" w:line="240" w:before="0" w:after="0"/>
        <w:ind w:firstLine="567" w:right="115"/>
        <w:jc w:val="both"/>
        <w:rPr>
          <w:rFonts w:ascii="Times New Roman" w:hAnsi="Times New Roman" w:cs="Times New Roman"/>
          <w:sz w:val="24"/>
          <w:szCs w:val="24"/>
        </w:rPr>
      </w:pPr>
      <w:r>
        <w:rPr>
          <w:rFonts w:cs="Times New Roman" w:ascii="Times New Roman" w:hAnsi="Times New Roman"/>
          <w:sz w:val="24"/>
          <w:szCs w:val="24"/>
        </w:rPr>
        <w:t>Физически и морально устаревшая коммунальная инфраструктура не позволяет обеспечивать выполнение современных экологических требований и растущих требований к количеству и качеству поставляемых потребителям коммунальных ресурсов. Нормальное функционирование и  социально- экономическое развитие Туркменского муниципального округа возможно при условии обязательной модернизации коммунальной инфраструктуры и повышении эффективности производства, транспортировки и потребления коммунальных ресурсов.</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Таблица 26.</w:t>
      </w:r>
    </w:p>
    <w:p>
      <w:pPr>
        <w:pStyle w:val="Normal"/>
        <w:spacing w:lineRule="auto" w:line="240" w:before="0" w:after="0"/>
        <w:jc w:val="center"/>
        <w:rPr/>
      </w:pPr>
      <w:bookmarkStart w:id="53" w:name="_Toc224805158"/>
      <w:r>
        <w:rPr>
          <w:rStyle w:val="1"/>
          <w:rFonts w:eastAsia="Calibri"/>
          <w:bCs w:val="false"/>
        </w:rPr>
        <w:t>Мероприятия развития коммунальной инфраструктуры</w:t>
      </w:r>
      <w:bookmarkEnd w:id="53"/>
    </w:p>
    <w:p>
      <w:pPr>
        <w:pStyle w:val="Normal"/>
        <w:spacing w:lineRule="auto" w:line="240" w:before="3" w:after="0"/>
        <w:rPr>
          <w:rFonts w:ascii="Times New Roman" w:hAnsi="Times New Roman" w:cs="Times New Roman"/>
          <w:sz w:val="6"/>
          <w:szCs w:val="6"/>
        </w:rPr>
      </w:pPr>
      <w:r>
        <w:rPr>
          <w:rFonts w:cs="Times New Roman" w:ascii="Times New Roman" w:hAnsi="Times New Roman"/>
          <w:sz w:val="6"/>
          <w:szCs w:val="6"/>
        </w:rPr>
      </w:r>
    </w:p>
    <w:tbl>
      <w:tblPr>
        <w:tblW w:w="9379" w:type="dxa"/>
        <w:jc w:val="left"/>
        <w:tblInd w:w="134" w:type="dxa"/>
        <w:tblLayout w:type="fixed"/>
        <w:tblCellMar>
          <w:top w:w="0" w:type="dxa"/>
          <w:left w:w="5" w:type="dxa"/>
          <w:bottom w:w="0" w:type="dxa"/>
          <w:right w:w="5" w:type="dxa"/>
        </w:tblCellMar>
        <w:tblLook w:val="04a0"/>
      </w:tblPr>
      <w:tblGrid>
        <w:gridCol w:w="634"/>
        <w:gridCol w:w="5422"/>
        <w:gridCol w:w="3323"/>
      </w:tblGrid>
      <w:tr>
        <w:trPr>
          <w:trHeight w:val="429"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50" w:left="143" w:right="109"/>
              <w:rPr>
                <w:rFonts w:ascii="Times New Roman" w:hAnsi="Times New Roman" w:cs="Times New Roman"/>
                <w:spacing w:val="-4"/>
                <w:sz w:val="20"/>
                <w:szCs w:val="20"/>
              </w:rPr>
            </w:pPr>
            <w:r>
              <w:rPr>
                <w:rFonts w:cs="Times New Roman" w:ascii="Times New Roman" w:hAnsi="Times New Roman"/>
                <w:spacing w:val="-10"/>
                <w:sz w:val="20"/>
                <w:szCs w:val="20"/>
              </w:rPr>
              <w:t xml:space="preserve">№ </w:t>
            </w:r>
            <w:r>
              <w:rPr>
                <w:rFonts w:cs="Times New Roman" w:ascii="Times New Roman" w:hAnsi="Times New Roman"/>
                <w:spacing w:val="-4"/>
                <w:sz w:val="20"/>
                <w:szCs w:val="20"/>
              </w:rPr>
              <w:t>п/п</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51"/>
              <w:rPr>
                <w:rFonts w:ascii="Times New Roman" w:hAnsi="Times New Roman" w:cs="Times New Roman"/>
                <w:sz w:val="20"/>
                <w:szCs w:val="20"/>
              </w:rPr>
            </w:pPr>
            <w:r>
              <w:rPr>
                <w:rFonts w:cs="Times New Roman" w:ascii="Times New Roman" w:hAnsi="Times New Roman"/>
                <w:sz w:val="20"/>
                <w:szCs w:val="20"/>
              </w:rPr>
              <w:t>Наименование мероприятия</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1"/>
              <w:rPr>
                <w:rFonts w:ascii="Times New Roman" w:hAnsi="Times New Roman" w:cs="Times New Roman"/>
                <w:sz w:val="20"/>
                <w:szCs w:val="20"/>
              </w:rPr>
            </w:pPr>
            <w:r>
              <w:rPr>
                <w:rFonts w:cs="Times New Roman" w:ascii="Times New Roman" w:hAnsi="Times New Roman"/>
                <w:sz w:val="20"/>
                <w:szCs w:val="20"/>
              </w:rPr>
              <w:t>Год реализации</w:t>
            </w:r>
          </w:p>
        </w:tc>
      </w:tr>
      <w:tr>
        <w:trPr>
          <w:trHeight w:val="247"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07" w:right="2197"/>
              <w:jc w:val="center"/>
              <w:rPr>
                <w:rFonts w:ascii="Times New Roman" w:hAnsi="Times New Roman" w:cs="Times New Roman"/>
                <w:spacing w:val="-2"/>
                <w:sz w:val="20"/>
                <w:szCs w:val="20"/>
              </w:rPr>
            </w:pPr>
            <w:r>
              <w:rPr>
                <w:rFonts w:cs="Times New Roman" w:ascii="Times New Roman" w:hAnsi="Times New Roman"/>
                <w:spacing w:val="-2"/>
                <w:sz w:val="20"/>
                <w:szCs w:val="20"/>
              </w:rPr>
              <w:t>Водоснабжение</w:t>
            </w:r>
          </w:p>
        </w:tc>
      </w:tr>
      <w:tr>
        <w:trPr>
          <w:trHeight w:val="253"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64"/>
              <w:rPr>
                <w:rFonts w:ascii="Times New Roman" w:hAnsi="Times New Roman" w:cs="Times New Roman"/>
                <w:sz w:val="20"/>
                <w:szCs w:val="20"/>
              </w:rPr>
            </w:pPr>
            <w:r>
              <w:rPr>
                <w:rFonts w:cs="Times New Roman" w:ascii="Times New Roman" w:hAnsi="Times New Roman"/>
                <w:sz w:val="20"/>
                <w:szCs w:val="20"/>
              </w:rPr>
              <w:t>ГУП СК «Страврополькрайводоканал»-«Северный» ПТП Ипатовское</w:t>
            </w:r>
          </w:p>
        </w:tc>
      </w:tr>
      <w:tr>
        <w:trPr>
          <w:trHeight w:val="599"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256"/>
              <w:rPr>
                <w:rFonts w:ascii="Times New Roman" w:hAnsi="Times New Roman" w:cs="Times New Roman"/>
                <w:sz w:val="20"/>
                <w:szCs w:val="20"/>
              </w:rPr>
            </w:pPr>
            <w:r>
              <w:rPr>
                <w:rFonts w:cs="Times New Roman" w:ascii="Times New Roman" w:hAnsi="Times New Roman"/>
                <w:sz w:val="20"/>
                <w:szCs w:val="20"/>
              </w:rPr>
              <w:t>1</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2"/>
              <w:jc w:val="both"/>
              <w:rPr>
                <w:rFonts w:ascii="Times New Roman" w:hAnsi="Times New Roman" w:cs="Times New Roman"/>
                <w:sz w:val="20"/>
                <w:szCs w:val="20"/>
              </w:rPr>
            </w:pPr>
            <w:r>
              <w:rPr>
                <w:rFonts w:cs="Times New Roman" w:ascii="Times New Roman" w:hAnsi="Times New Roman"/>
                <w:sz w:val="20"/>
                <w:szCs w:val="20"/>
              </w:rPr>
              <w:t>Реконструкция водовода от НС</w:t>
            </w:r>
          </w:p>
          <w:p>
            <w:pPr>
              <w:pStyle w:val="Normal"/>
              <w:spacing w:lineRule="auto" w:line="240" w:before="0" w:after="0"/>
              <w:ind w:left="32"/>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6 с. Кендже-Кулак до а. Шарахалсун, с. Кучерла протяженностью 10,4 км</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
              <w:jc w:val="center"/>
              <w:rPr>
                <w:rFonts w:ascii="Times New Roman" w:hAnsi="Times New Roman" w:cs="Times New Roman"/>
                <w:spacing w:val="-4"/>
                <w:sz w:val="20"/>
                <w:szCs w:val="20"/>
              </w:rPr>
            </w:pPr>
            <w:r>
              <w:rPr>
                <w:rFonts w:cs="Times New Roman" w:ascii="Times New Roman" w:hAnsi="Times New Roman"/>
                <w:spacing w:val="-4"/>
                <w:sz w:val="20"/>
                <w:szCs w:val="20"/>
              </w:rPr>
              <w:t>2026-2040</w:t>
            </w:r>
          </w:p>
        </w:tc>
      </w:tr>
      <w:tr>
        <w:trPr>
          <w:trHeight w:val="507"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3" w:after="0"/>
              <w:ind w:left="256"/>
              <w:rPr>
                <w:rFonts w:ascii="Times New Roman" w:hAnsi="Times New Roman" w:cs="Times New Roman"/>
                <w:sz w:val="20"/>
                <w:szCs w:val="20"/>
              </w:rPr>
            </w:pPr>
            <w:r>
              <w:rPr>
                <w:rFonts w:cs="Times New Roman" w:ascii="Times New Roman" w:hAnsi="Times New Roman"/>
                <w:sz w:val="20"/>
                <w:szCs w:val="20"/>
              </w:rPr>
              <w:t>2</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41" w:left="32"/>
              <w:rPr>
                <w:rFonts w:ascii="Times New Roman" w:hAnsi="Times New Roman" w:cs="Times New Roman"/>
                <w:sz w:val="20"/>
                <w:szCs w:val="20"/>
              </w:rPr>
            </w:pPr>
            <w:r>
              <w:rPr>
                <w:rFonts w:cs="Times New Roman" w:ascii="Times New Roman" w:hAnsi="Times New Roman"/>
                <w:sz w:val="20"/>
                <w:szCs w:val="20"/>
              </w:rPr>
              <w:t>Реконструкция водовов от распределительного колодца до НРР а. Шарахалсун, и НРР с. Кучерла протяженностью 9,8 км</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5" w:after="0"/>
              <w:ind w:right="-25"/>
              <w:jc w:val="center"/>
              <w:rPr>
                <w:rFonts w:ascii="Times New Roman" w:hAnsi="Times New Roman" w:cs="Times New Roman"/>
                <w:spacing w:val="-4"/>
                <w:sz w:val="20"/>
                <w:szCs w:val="20"/>
              </w:rPr>
            </w:pPr>
            <w:r>
              <w:rPr>
                <w:rFonts w:cs="Times New Roman" w:ascii="Times New Roman" w:hAnsi="Times New Roman"/>
                <w:spacing w:val="-4"/>
                <w:sz w:val="20"/>
                <w:szCs w:val="20"/>
              </w:rPr>
              <w:t>2026-2040</w:t>
            </w:r>
          </w:p>
        </w:tc>
      </w:tr>
      <w:tr>
        <w:trPr>
          <w:trHeight w:val="245"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56" w:right="2242"/>
              <w:jc w:val="center"/>
              <w:rPr>
                <w:rFonts w:ascii="Times New Roman" w:hAnsi="Times New Roman" w:cs="Times New Roman"/>
                <w:spacing w:val="-2"/>
                <w:sz w:val="20"/>
                <w:szCs w:val="20"/>
              </w:rPr>
            </w:pPr>
            <w:r>
              <w:rPr>
                <w:rFonts w:cs="Times New Roman" w:ascii="Times New Roman" w:hAnsi="Times New Roman"/>
                <w:spacing w:val="-2"/>
                <w:sz w:val="20"/>
                <w:szCs w:val="20"/>
              </w:rPr>
              <w:t>Водоотведение</w:t>
            </w:r>
          </w:p>
        </w:tc>
      </w:tr>
      <w:tr>
        <w:trPr>
          <w:trHeight w:val="226"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23"/>
              <w:rPr>
                <w:rFonts w:ascii="Times New Roman" w:hAnsi="Times New Roman" w:cs="Times New Roman"/>
                <w:sz w:val="20"/>
                <w:szCs w:val="20"/>
              </w:rPr>
            </w:pPr>
            <w:r>
              <w:rPr>
                <w:rFonts w:cs="Times New Roman" w:ascii="Times New Roman" w:hAnsi="Times New Roman"/>
                <w:sz w:val="20"/>
                <w:szCs w:val="20"/>
              </w:rPr>
              <w:t>ГУП Ставрополькрайводоканал «Северный» -ПТП Ипатовское</w:t>
            </w:r>
          </w:p>
        </w:tc>
      </w:tr>
      <w:tr>
        <w:trPr>
          <w:trHeight w:val="24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96"/>
              <w:rPr>
                <w:rFonts w:ascii="Times New Roman" w:hAnsi="Times New Roman" w:cs="Times New Roman"/>
                <w:spacing w:val="-6"/>
                <w:sz w:val="20"/>
                <w:szCs w:val="20"/>
              </w:rPr>
            </w:pPr>
            <w:r>
              <w:rPr>
                <w:rFonts w:cs="Times New Roman" w:ascii="Times New Roman" w:hAnsi="Times New Roman"/>
                <w:spacing w:val="-6"/>
                <w:sz w:val="20"/>
                <w:szCs w:val="20"/>
              </w:rPr>
              <w:t>3</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jc w:val="both"/>
              <w:rPr>
                <w:rFonts w:ascii="Times New Roman" w:hAnsi="Times New Roman" w:cs="Times New Roman"/>
                <w:sz w:val="20"/>
                <w:szCs w:val="20"/>
              </w:rPr>
            </w:pPr>
            <w:r>
              <w:rPr>
                <w:rFonts w:cs="Times New Roman" w:ascii="Times New Roman" w:hAnsi="Times New Roman"/>
                <w:sz w:val="20"/>
                <w:szCs w:val="20"/>
              </w:rPr>
              <w:t>Реконструкция сетей центрального водоотведения в п. Ясный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373"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96"/>
              <w:rPr>
                <w:rFonts w:ascii="Times New Roman" w:hAnsi="Times New Roman" w:cs="Times New Roman"/>
                <w:spacing w:val="-6"/>
                <w:sz w:val="20"/>
                <w:szCs w:val="20"/>
              </w:rPr>
            </w:pPr>
            <w:r>
              <w:rPr>
                <w:rFonts w:cs="Times New Roman" w:ascii="Times New Roman" w:hAnsi="Times New Roman"/>
                <w:spacing w:val="-6"/>
                <w:sz w:val="20"/>
                <w:szCs w:val="20"/>
              </w:rPr>
              <w:t>4</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jc w:val="both"/>
              <w:rPr>
                <w:rFonts w:ascii="Times New Roman" w:hAnsi="Times New Roman" w:cs="Times New Roman"/>
                <w:sz w:val="20"/>
                <w:szCs w:val="20"/>
              </w:rPr>
            </w:pPr>
            <w:r>
              <w:rPr>
                <w:rFonts w:cs="Times New Roman" w:ascii="Times New Roman" w:hAnsi="Times New Roman"/>
                <w:sz w:val="20"/>
                <w:szCs w:val="20"/>
              </w:rPr>
              <w:t>Реконструкция сетей центрального водоотведения в п. Красный Маныч</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19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96"/>
              <w:rPr>
                <w:rFonts w:ascii="Times New Roman" w:hAnsi="Times New Roman" w:cs="Times New Roman"/>
                <w:spacing w:val="-6"/>
                <w:sz w:val="20"/>
                <w:szCs w:val="20"/>
              </w:rPr>
            </w:pPr>
            <w:r>
              <w:rPr>
                <w:rFonts w:cs="Times New Roman" w:ascii="Times New Roman" w:hAnsi="Times New Roman"/>
                <w:spacing w:val="-6"/>
                <w:sz w:val="20"/>
                <w:szCs w:val="20"/>
              </w:rPr>
              <w:t>5</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right="181"/>
              <w:rPr>
                <w:rFonts w:ascii="Times New Roman" w:hAnsi="Times New Roman" w:cs="Times New Roman"/>
                <w:sz w:val="20"/>
                <w:szCs w:val="20"/>
              </w:rPr>
            </w:pPr>
            <w:r>
              <w:rPr>
                <w:rFonts w:cs="Times New Roman" w:ascii="Times New Roman" w:hAnsi="Times New Roman"/>
                <w:sz w:val="20"/>
                <w:szCs w:val="20"/>
              </w:rPr>
              <w:t>Строительство очистных сооружений в п. Ясный мощностью 100 м3</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19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9" w:after="0"/>
              <w:jc w:val="center"/>
              <w:rPr>
                <w:rFonts w:ascii="Times New Roman" w:hAnsi="Times New Roman" w:cs="Times New Roman"/>
                <w:sz w:val="20"/>
                <w:szCs w:val="20"/>
              </w:rPr>
            </w:pPr>
            <w:r>
              <w:rPr>
                <w:rFonts w:cs="Times New Roman" w:ascii="Times New Roman" w:hAnsi="Times New Roman"/>
                <w:sz w:val="20"/>
                <w:szCs w:val="20"/>
              </w:rPr>
              <w:t>6</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right="181"/>
              <w:rPr>
                <w:rFonts w:ascii="Times New Roman" w:hAnsi="Times New Roman" w:cs="Times New Roman"/>
                <w:sz w:val="20"/>
                <w:szCs w:val="20"/>
              </w:rPr>
            </w:pPr>
            <w:r>
              <w:rPr>
                <w:rFonts w:cs="Times New Roman" w:ascii="Times New Roman" w:hAnsi="Times New Roman"/>
                <w:sz w:val="20"/>
                <w:szCs w:val="20"/>
              </w:rPr>
              <w:t>Строительство КНС в п. Ясный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8" w:after="0"/>
              <w:jc w:val="center"/>
              <w:rPr>
                <w:rFonts w:ascii="Times New Roman" w:hAnsi="Times New Roman" w:cs="Times New Roman"/>
                <w:sz w:val="20"/>
                <w:szCs w:val="20"/>
              </w:rPr>
            </w:pPr>
            <w:r>
              <w:rPr>
                <w:rFonts w:cs="Times New Roman" w:ascii="Times New Roman" w:hAnsi="Times New Roman"/>
                <w:sz w:val="20"/>
                <w:szCs w:val="20"/>
              </w:rPr>
              <w:t>2026-2034</w:t>
            </w:r>
          </w:p>
        </w:tc>
      </w:tr>
      <w:tr>
        <w:trPr>
          <w:trHeight w:val="19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9" w:after="0"/>
              <w:jc w:val="center"/>
              <w:rPr>
                <w:rFonts w:ascii="Times New Roman" w:hAnsi="Times New Roman" w:cs="Times New Roman"/>
                <w:sz w:val="20"/>
                <w:szCs w:val="20"/>
              </w:rPr>
            </w:pPr>
            <w:r>
              <w:rPr>
                <w:rFonts w:cs="Times New Roman" w:ascii="Times New Roman" w:hAnsi="Times New Roman"/>
                <w:sz w:val="20"/>
                <w:szCs w:val="20"/>
              </w:rPr>
              <w:t>7</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right="181"/>
              <w:rPr>
                <w:rFonts w:ascii="Times New Roman" w:hAnsi="Times New Roman" w:cs="Times New Roman"/>
                <w:sz w:val="20"/>
                <w:szCs w:val="20"/>
              </w:rPr>
            </w:pPr>
            <w:r>
              <w:rPr>
                <w:rFonts w:cs="Times New Roman" w:ascii="Times New Roman" w:hAnsi="Times New Roman"/>
                <w:sz w:val="20"/>
                <w:szCs w:val="20"/>
              </w:rPr>
              <w:t>Строительство напорного коллектора в п. Ясный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8" w:after="0"/>
              <w:jc w:val="center"/>
              <w:rPr>
                <w:rFonts w:ascii="Times New Roman" w:hAnsi="Times New Roman" w:cs="Times New Roman"/>
                <w:sz w:val="20"/>
                <w:szCs w:val="20"/>
              </w:rPr>
            </w:pPr>
            <w:r>
              <w:rPr>
                <w:rFonts w:cs="Times New Roman" w:ascii="Times New Roman" w:hAnsi="Times New Roman"/>
                <w:sz w:val="20"/>
                <w:szCs w:val="20"/>
              </w:rPr>
              <w:t>2026-2034</w:t>
            </w:r>
          </w:p>
        </w:tc>
      </w:tr>
      <w:tr>
        <w:trPr>
          <w:trHeight w:val="19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9" w:after="0"/>
              <w:jc w:val="center"/>
              <w:rPr>
                <w:rFonts w:ascii="Times New Roman" w:hAnsi="Times New Roman" w:cs="Times New Roman"/>
                <w:sz w:val="20"/>
                <w:szCs w:val="20"/>
              </w:rPr>
            </w:pPr>
            <w:r>
              <w:rPr>
                <w:rFonts w:cs="Times New Roman" w:ascii="Times New Roman" w:hAnsi="Times New Roman"/>
                <w:sz w:val="20"/>
                <w:szCs w:val="20"/>
              </w:rPr>
              <w:t>8</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right="181"/>
              <w:rPr>
                <w:rFonts w:ascii="Times New Roman" w:hAnsi="Times New Roman" w:cs="Times New Roman"/>
                <w:sz w:val="20"/>
                <w:szCs w:val="20"/>
              </w:rPr>
            </w:pPr>
            <w:r>
              <w:rPr>
                <w:rFonts w:cs="Times New Roman" w:ascii="Times New Roman" w:hAnsi="Times New Roman"/>
                <w:sz w:val="20"/>
                <w:szCs w:val="20"/>
              </w:rPr>
              <w:t>Строительство сбросного коллектора в п. Ясный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8" w:after="0"/>
              <w:jc w:val="center"/>
              <w:rPr>
                <w:rFonts w:ascii="Times New Roman" w:hAnsi="Times New Roman" w:cs="Times New Roman"/>
                <w:sz w:val="20"/>
                <w:szCs w:val="20"/>
              </w:rPr>
            </w:pPr>
            <w:r>
              <w:rPr>
                <w:rFonts w:cs="Times New Roman" w:ascii="Times New Roman" w:hAnsi="Times New Roman"/>
                <w:sz w:val="20"/>
                <w:szCs w:val="20"/>
              </w:rPr>
              <w:t>2026-2034</w:t>
            </w:r>
          </w:p>
        </w:tc>
      </w:tr>
      <w:tr>
        <w:trPr>
          <w:trHeight w:val="248"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56" w:right="2244"/>
              <w:jc w:val="center"/>
              <w:rPr>
                <w:rFonts w:ascii="Times New Roman" w:hAnsi="Times New Roman" w:cs="Times New Roman"/>
                <w:spacing w:val="-2"/>
                <w:sz w:val="20"/>
                <w:szCs w:val="20"/>
              </w:rPr>
            </w:pPr>
            <w:r>
              <w:rPr>
                <w:rFonts w:cs="Times New Roman" w:ascii="Times New Roman" w:hAnsi="Times New Roman"/>
                <w:spacing w:val="-2"/>
                <w:sz w:val="20"/>
                <w:szCs w:val="20"/>
              </w:rPr>
              <w:t>Теплоснабжение</w:t>
            </w:r>
          </w:p>
        </w:tc>
      </w:tr>
      <w:tr>
        <w:trPr>
          <w:trHeight w:val="229"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Газпром газораспределение Ставрополь, Туркменскрайгаз</w:t>
            </w:r>
          </w:p>
        </w:tc>
      </w:tr>
      <w:tr>
        <w:trPr>
          <w:trHeight w:val="386"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233" w:after="0"/>
              <w:ind w:left="196"/>
              <w:rPr>
                <w:rFonts w:ascii="Times New Roman" w:hAnsi="Times New Roman" w:cs="Times New Roman"/>
                <w:spacing w:val="-6"/>
                <w:sz w:val="20"/>
                <w:szCs w:val="20"/>
              </w:rPr>
            </w:pPr>
            <w:r>
              <w:rPr>
                <w:rFonts w:cs="Times New Roman" w:ascii="Times New Roman" w:hAnsi="Times New Roman"/>
                <w:spacing w:val="-6"/>
                <w:sz w:val="20"/>
                <w:szCs w:val="20"/>
              </w:rPr>
              <w:t>9</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2" w:right="181"/>
              <w:rPr>
                <w:rFonts w:ascii="Times New Roman" w:hAnsi="Times New Roman" w:cs="Times New Roman"/>
                <w:sz w:val="20"/>
                <w:szCs w:val="20"/>
              </w:rPr>
            </w:pPr>
            <w:r>
              <w:rPr>
                <w:rFonts w:cs="Times New Roman" w:ascii="Times New Roman" w:hAnsi="Times New Roman"/>
                <w:sz w:val="20"/>
                <w:szCs w:val="20"/>
              </w:rPr>
              <w:t>Замена участка тепловых сетей протяженностью 100 м в двухтрубном исполнении в с. Летняя Ставка</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226" w:after="0"/>
              <w:jc w:val="center"/>
              <w:rPr>
                <w:rFonts w:ascii="Times New Roman" w:hAnsi="Times New Roman" w:cs="Times New Roman"/>
                <w:spacing w:val="-2"/>
                <w:sz w:val="20"/>
                <w:szCs w:val="20"/>
              </w:rPr>
            </w:pPr>
            <w:r>
              <w:rPr>
                <w:rFonts w:cs="Times New Roman" w:ascii="Times New Roman" w:hAnsi="Times New Roman"/>
                <w:spacing w:val="-2"/>
                <w:sz w:val="20"/>
                <w:szCs w:val="20"/>
              </w:rPr>
              <w:t>2026-20241</w:t>
            </w:r>
          </w:p>
        </w:tc>
      </w:tr>
      <w:tr>
        <w:trPr>
          <w:trHeight w:val="225"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09" w:right="2197"/>
              <w:jc w:val="center"/>
              <w:rPr>
                <w:rFonts w:ascii="Times New Roman" w:hAnsi="Times New Roman" w:cs="Times New Roman"/>
                <w:spacing w:val="-2"/>
                <w:sz w:val="20"/>
                <w:szCs w:val="20"/>
              </w:rPr>
            </w:pPr>
            <w:r>
              <w:rPr>
                <w:rFonts w:cs="Times New Roman" w:ascii="Times New Roman" w:hAnsi="Times New Roman"/>
                <w:spacing w:val="-2"/>
                <w:sz w:val="20"/>
                <w:szCs w:val="20"/>
              </w:rPr>
              <w:t>Электроснабжение</w:t>
            </w:r>
          </w:p>
        </w:tc>
      </w:tr>
      <w:tr>
        <w:trPr>
          <w:trHeight w:val="454"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01" w:after="0"/>
              <w:ind w:left="206"/>
              <w:rPr>
                <w:rFonts w:ascii="Times New Roman" w:hAnsi="Times New Roman" w:cs="Times New Roman"/>
                <w:spacing w:val="-6"/>
                <w:sz w:val="20"/>
                <w:szCs w:val="20"/>
              </w:rPr>
            </w:pPr>
            <w:r>
              <w:rPr>
                <w:rFonts w:cs="Times New Roman" w:ascii="Times New Roman" w:hAnsi="Times New Roman"/>
                <w:spacing w:val="-6"/>
                <w:sz w:val="20"/>
                <w:szCs w:val="20"/>
              </w:rPr>
              <w:t>10</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9" w:left="32"/>
              <w:jc w:val="both"/>
              <w:rPr>
                <w:rFonts w:ascii="Times New Roman" w:hAnsi="Times New Roman" w:cs="Times New Roman"/>
                <w:sz w:val="20"/>
                <w:szCs w:val="20"/>
              </w:rPr>
            </w:pPr>
            <w:r>
              <w:rPr>
                <w:rFonts w:cs="Times New Roman" w:ascii="Times New Roman" w:hAnsi="Times New Roman"/>
                <w:sz w:val="20"/>
                <w:szCs w:val="20"/>
              </w:rPr>
              <w:t xml:space="preserve">Реконструкция ВЛ-10 кВ Ф-774 от ПС Кучерла Туркменского </w:t>
            </w:r>
            <w:r>
              <w:rPr>
                <w:rFonts w:eastAsia="Times New Roman" w:cs="Times New Roman" w:ascii="Times New Roman" w:hAnsi="Times New Roman"/>
                <w:sz w:val="20"/>
                <w:szCs w:val="20"/>
                <w:lang w:eastAsia="ru-RU"/>
              </w:rPr>
              <w:t>муниципального округа</w:t>
            </w:r>
            <w:r>
              <w:rPr>
                <w:rFonts w:cs="Times New Roman" w:ascii="Times New Roman" w:hAnsi="Times New Roman"/>
                <w:sz w:val="20"/>
                <w:szCs w:val="20"/>
              </w:rPr>
              <w:t xml:space="preserve"> (с установкой доп. ТП-10/0,4кВ, реконструкцией ВЛ-0,4кВ для разгрузки ТП-10/774)</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94" w:after="0"/>
              <w:ind w:firstLine="10" w:left="67"/>
              <w:jc w:val="center"/>
              <w:rPr>
                <w:rFonts w:ascii="Times New Roman" w:hAnsi="Times New Roman" w:cs="Times New Roman"/>
                <w:spacing w:val="-2"/>
                <w:sz w:val="20"/>
                <w:szCs w:val="20"/>
              </w:rPr>
            </w:pPr>
            <w:r>
              <w:rPr>
                <w:rFonts w:cs="Times New Roman" w:ascii="Times New Roman" w:hAnsi="Times New Roman"/>
                <w:spacing w:val="-2"/>
                <w:sz w:val="20"/>
                <w:szCs w:val="20"/>
              </w:rPr>
              <w:t>2026-20241</w:t>
            </w:r>
          </w:p>
        </w:tc>
      </w:tr>
      <w:tr>
        <w:trPr>
          <w:trHeight w:val="403"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73" w:after="0"/>
              <w:ind w:left="206"/>
              <w:rPr>
                <w:sz w:val="20"/>
                <w:szCs w:val="20"/>
              </w:rPr>
            </w:pPr>
            <w:r>
              <w:rPr>
                <w:rFonts w:cs="Times New Roman" w:ascii="Times New Roman" w:hAnsi="Times New Roman"/>
                <w:spacing w:val="-6"/>
                <w:sz w:val="20"/>
                <w:szCs w:val="20"/>
              </w:rPr>
              <w:t>11</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jc w:val="both"/>
              <w:rPr>
                <w:sz w:val="20"/>
                <w:szCs w:val="20"/>
              </w:rPr>
            </w:pPr>
            <w:r>
              <w:rPr>
                <w:rFonts w:cs="Times New Roman" w:ascii="Times New Roman" w:hAnsi="Times New Roman"/>
                <w:sz w:val="20"/>
                <w:szCs w:val="20"/>
              </w:rPr>
              <w:t xml:space="preserve">Реконструкция ВЛ-0,4 кВ Ф-2, Ф-3 от КТП-1/722 в с. Камбулат Туркменского  </w:t>
            </w:r>
            <w:r>
              <w:rPr>
                <w:rFonts w:eastAsia="Times New Roman" w:cs="Times New Roman" w:ascii="Times New Roman" w:hAnsi="Times New Roman"/>
                <w:sz w:val="20"/>
                <w:szCs w:val="20"/>
                <w:lang w:eastAsia="ru-RU"/>
              </w:rPr>
              <w:t>муниципального округа</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59" w:after="0"/>
              <w:ind w:firstLine="10" w:left="67"/>
              <w:jc w:val="center"/>
              <w:rPr>
                <w:rFonts w:ascii="Times New Roman" w:hAnsi="Times New Roman" w:cs="Times New Roman"/>
                <w:spacing w:val="-2"/>
                <w:sz w:val="20"/>
                <w:szCs w:val="20"/>
              </w:rPr>
            </w:pPr>
            <w:r>
              <w:rPr>
                <w:rFonts w:cs="Times New Roman" w:ascii="Times New Roman" w:hAnsi="Times New Roman"/>
                <w:spacing w:val="-2"/>
                <w:sz w:val="20"/>
                <w:szCs w:val="20"/>
              </w:rPr>
              <w:t>2026-20241</w:t>
            </w:r>
          </w:p>
        </w:tc>
      </w:tr>
      <w:tr>
        <w:trPr>
          <w:trHeight w:val="24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8" w:after="0"/>
              <w:ind w:left="206"/>
              <w:rPr>
                <w:rFonts w:ascii="Times New Roman" w:hAnsi="Times New Roman" w:cs="Times New Roman"/>
                <w:spacing w:val="-6"/>
                <w:sz w:val="20"/>
                <w:szCs w:val="20"/>
              </w:rPr>
            </w:pPr>
            <w:r>
              <w:rPr>
                <w:rFonts w:cs="Times New Roman" w:ascii="Times New Roman" w:hAnsi="Times New Roman"/>
                <w:spacing w:val="-6"/>
                <w:sz w:val="20"/>
                <w:szCs w:val="20"/>
              </w:rPr>
              <w:t>12</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5"/>
              <w:jc w:val="both"/>
              <w:rPr>
                <w:rFonts w:ascii="Times New Roman" w:hAnsi="Times New Roman" w:cs="Times New Roman"/>
                <w:sz w:val="20"/>
                <w:szCs w:val="20"/>
              </w:rPr>
            </w:pPr>
            <w:r>
              <w:rPr>
                <w:rFonts w:cs="Times New Roman" w:ascii="Times New Roman" w:hAnsi="Times New Roman"/>
                <w:sz w:val="20"/>
                <w:szCs w:val="20"/>
              </w:rPr>
              <w:t xml:space="preserve">Реконструкция ВЛ-10 кВ Ф-722 от ПС "Камбулат" Туркменского  </w:t>
            </w:r>
            <w:r>
              <w:rPr>
                <w:rFonts w:eastAsia="Times New Roman" w:cs="Times New Roman" w:ascii="Times New Roman" w:hAnsi="Times New Roman"/>
                <w:sz w:val="20"/>
                <w:szCs w:val="20"/>
                <w:lang w:eastAsia="ru-RU"/>
              </w:rPr>
              <w:t>муниципального округа</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1" w:after="0"/>
              <w:ind w:firstLine="10" w:left="67"/>
              <w:jc w:val="center"/>
              <w:rPr>
                <w:rFonts w:ascii="Times New Roman" w:hAnsi="Times New Roman" w:cs="Times New Roman"/>
                <w:spacing w:val="-2"/>
                <w:sz w:val="20"/>
                <w:szCs w:val="20"/>
              </w:rPr>
            </w:pPr>
            <w:r>
              <w:rPr>
                <w:rFonts w:cs="Times New Roman" w:ascii="Times New Roman" w:hAnsi="Times New Roman"/>
                <w:spacing w:val="-2"/>
                <w:sz w:val="20"/>
                <w:szCs w:val="20"/>
              </w:rPr>
              <w:t>2025-20241</w:t>
            </w:r>
          </w:p>
        </w:tc>
      </w:tr>
      <w:tr>
        <w:trPr>
          <w:trHeight w:val="614"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8" w:after="0"/>
              <w:ind w:left="206"/>
              <w:rPr>
                <w:rFonts w:ascii="Times New Roman" w:hAnsi="Times New Roman" w:cs="Times New Roman"/>
                <w:spacing w:val="-6"/>
                <w:sz w:val="20"/>
                <w:szCs w:val="20"/>
              </w:rPr>
            </w:pPr>
            <w:r>
              <w:rPr>
                <w:rFonts w:cs="Times New Roman" w:ascii="Times New Roman" w:hAnsi="Times New Roman"/>
                <w:spacing w:val="-6"/>
                <w:sz w:val="20"/>
                <w:szCs w:val="20"/>
              </w:rPr>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cs="Times New Roman"/>
                <w:sz w:val="20"/>
                <w:szCs w:val="20"/>
              </w:rPr>
            </w:pPr>
            <w:r>
              <w:rPr>
                <w:rFonts w:cs="Times New Roman" w:ascii="Times New Roman" w:hAnsi="Times New Roman"/>
                <w:sz w:val="20"/>
                <w:szCs w:val="20"/>
              </w:rPr>
              <w:t>развитие возобновляемых источников энергии (АО "ВетроОГК-3" ветряные электростанции) в зоне обслуживания. ВЛ 110 кВ Восход –Рагули (Л-157)</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1" w:after="0"/>
              <w:ind w:firstLine="10" w:left="1544"/>
              <w:rPr>
                <w:rFonts w:ascii="Times New Roman" w:hAnsi="Times New Roman" w:cs="Times New Roman"/>
                <w:spacing w:val="-2"/>
                <w:sz w:val="20"/>
                <w:szCs w:val="20"/>
              </w:rPr>
            </w:pPr>
            <w:r>
              <w:rPr>
                <w:rFonts w:cs="Times New Roman" w:ascii="Times New Roman" w:hAnsi="Times New Roman"/>
                <w:spacing w:val="-2"/>
                <w:sz w:val="20"/>
                <w:szCs w:val="20"/>
              </w:rPr>
              <w:t>2026</w:t>
            </w:r>
          </w:p>
        </w:tc>
      </w:tr>
      <w:tr>
        <w:trPr>
          <w:trHeight w:val="229"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09" w:right="2197"/>
              <w:jc w:val="center"/>
              <w:rPr>
                <w:rFonts w:ascii="Times New Roman" w:hAnsi="Times New Roman" w:cs="Times New Roman"/>
                <w:spacing w:val="-2"/>
                <w:sz w:val="20"/>
                <w:szCs w:val="20"/>
              </w:rPr>
            </w:pPr>
            <w:r>
              <w:rPr>
                <w:rFonts w:cs="Times New Roman" w:ascii="Times New Roman" w:hAnsi="Times New Roman"/>
                <w:spacing w:val="-2"/>
                <w:sz w:val="20"/>
                <w:szCs w:val="20"/>
              </w:rPr>
              <w:t>Газоснабжение</w:t>
            </w:r>
          </w:p>
        </w:tc>
      </w:tr>
      <w:tr>
        <w:trPr>
          <w:trHeight w:val="147"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0"/>
              <w:rPr>
                <w:rFonts w:ascii="Times New Roman" w:hAnsi="Times New Roman" w:cs="Times New Roman"/>
                <w:spacing w:val="-4"/>
                <w:sz w:val="20"/>
                <w:szCs w:val="20"/>
              </w:rPr>
            </w:pPr>
            <w:r>
              <w:rPr>
                <w:rFonts w:cs="Times New Roman" w:ascii="Times New Roman" w:hAnsi="Times New Roman"/>
                <w:spacing w:val="-4"/>
                <w:sz w:val="20"/>
                <w:szCs w:val="20"/>
              </w:rPr>
              <w:t>13</w:t>
            </w:r>
          </w:p>
        </w:tc>
        <w:tc>
          <w:tcPr>
            <w:tcW w:w="5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Догазификация домовладений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2026-2041</w:t>
            </w:r>
          </w:p>
        </w:tc>
      </w:tr>
      <w:tr>
        <w:trPr>
          <w:trHeight w:val="352"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5" w:after="0"/>
              <w:ind w:left="150"/>
              <w:rPr>
                <w:rFonts w:ascii="Times New Roman" w:hAnsi="Times New Roman" w:cs="Times New Roman"/>
                <w:spacing w:val="-4"/>
                <w:sz w:val="20"/>
                <w:szCs w:val="20"/>
              </w:rPr>
            </w:pPr>
            <w:r>
              <w:rPr>
                <w:rFonts w:cs="Times New Roman" w:ascii="Times New Roman" w:hAnsi="Times New Roman"/>
                <w:spacing w:val="-4"/>
                <w:sz w:val="20"/>
                <w:szCs w:val="20"/>
              </w:rPr>
              <w:t>14</w:t>
            </w:r>
          </w:p>
        </w:tc>
        <w:tc>
          <w:tcPr>
            <w:tcW w:w="5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5"/>
              <w:jc w:val="both"/>
              <w:rPr>
                <w:rFonts w:ascii="Times New Roman" w:hAnsi="Times New Roman" w:cs="Times New Roman"/>
                <w:sz w:val="20"/>
                <w:szCs w:val="20"/>
              </w:rPr>
            </w:pPr>
            <w:r>
              <w:rPr>
                <w:rFonts w:cs="Times New Roman" w:ascii="Times New Roman" w:hAnsi="Times New Roman"/>
                <w:sz w:val="20"/>
                <w:szCs w:val="20"/>
              </w:rPr>
              <w:t>Техническое обслуживание и ремонт газораспределительных сетей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1" w:after="0"/>
              <w:jc w:val="center"/>
              <w:rPr>
                <w:rFonts w:ascii="Times New Roman" w:hAnsi="Times New Roman" w:cs="Times New Roman"/>
                <w:spacing w:val="-4"/>
                <w:sz w:val="20"/>
                <w:szCs w:val="20"/>
              </w:rPr>
            </w:pPr>
            <w:r>
              <w:rPr>
                <w:rFonts w:cs="Times New Roman" w:ascii="Times New Roman" w:hAnsi="Times New Roman"/>
                <w:spacing w:val="-4"/>
                <w:sz w:val="20"/>
                <w:szCs w:val="20"/>
              </w:rPr>
              <w:t>2026-2041</w:t>
            </w:r>
          </w:p>
        </w:tc>
      </w:tr>
      <w:tr>
        <w:trPr>
          <w:trHeight w:val="230"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75" w:after="0"/>
              <w:ind w:left="150"/>
              <w:rPr>
                <w:rFonts w:ascii="Times New Roman" w:hAnsi="Times New Roman" w:cs="Times New Roman"/>
                <w:spacing w:val="-4"/>
                <w:sz w:val="20"/>
                <w:szCs w:val="20"/>
              </w:rPr>
            </w:pPr>
            <w:r>
              <w:rPr>
                <w:rFonts w:cs="Times New Roman" w:ascii="Times New Roman" w:hAnsi="Times New Roman"/>
                <w:spacing w:val="-4"/>
                <w:sz w:val="20"/>
                <w:szCs w:val="20"/>
              </w:rPr>
              <w:t>15</w:t>
            </w:r>
          </w:p>
        </w:tc>
        <w:tc>
          <w:tcPr>
            <w:tcW w:w="5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t>Строительство инженерных коммуникаций</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59" w:after="0"/>
              <w:jc w:val="center"/>
              <w:rPr>
                <w:rFonts w:ascii="Times New Roman" w:hAnsi="Times New Roman" w:cs="Times New Roman"/>
                <w:spacing w:val="-4"/>
                <w:sz w:val="20"/>
                <w:szCs w:val="20"/>
              </w:rPr>
            </w:pPr>
            <w:r>
              <w:rPr>
                <w:rFonts w:cs="Times New Roman" w:ascii="Times New Roman" w:hAnsi="Times New Roman"/>
                <w:spacing w:val="-4"/>
                <w:sz w:val="20"/>
                <w:szCs w:val="20"/>
              </w:rPr>
              <w:t>2026-2041</w:t>
            </w:r>
          </w:p>
        </w:tc>
      </w:tr>
      <w:tr>
        <w:trPr>
          <w:trHeight w:val="229" w:hRule="atLeast"/>
        </w:trPr>
        <w:tc>
          <w:tcPr>
            <w:tcW w:w="937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10" w:right="2195"/>
              <w:jc w:val="center"/>
              <w:rPr>
                <w:rFonts w:ascii="Times New Roman" w:hAnsi="Times New Roman" w:cs="Times New Roman"/>
                <w:sz w:val="20"/>
                <w:szCs w:val="20"/>
              </w:rPr>
            </w:pPr>
            <w:r>
              <w:rPr>
                <w:rFonts w:cs="Times New Roman" w:ascii="Times New Roman" w:hAnsi="Times New Roman"/>
                <w:sz w:val="20"/>
                <w:szCs w:val="20"/>
              </w:rPr>
              <w:t>Сбор и вывоз ТКО</w:t>
            </w:r>
          </w:p>
        </w:tc>
      </w:tr>
      <w:tr>
        <w:trPr>
          <w:trHeight w:val="324" w:hRule="atLeast"/>
        </w:trPr>
        <w:tc>
          <w:tcPr>
            <w:tcW w:w="6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99" w:after="0"/>
              <w:ind w:left="150"/>
              <w:rPr>
                <w:rFonts w:ascii="Times New Roman" w:hAnsi="Times New Roman" w:cs="Times New Roman"/>
                <w:spacing w:val="-4"/>
                <w:sz w:val="20"/>
                <w:szCs w:val="20"/>
              </w:rPr>
            </w:pPr>
            <w:r>
              <w:rPr>
                <w:rFonts w:cs="Times New Roman" w:ascii="Times New Roman" w:hAnsi="Times New Roman"/>
                <w:spacing w:val="-4"/>
                <w:sz w:val="20"/>
                <w:szCs w:val="20"/>
              </w:rPr>
              <w:t>17</w:t>
            </w:r>
          </w:p>
        </w:tc>
        <w:tc>
          <w:tcPr>
            <w:tcW w:w="54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9" w:left="32"/>
              <w:rPr>
                <w:rFonts w:ascii="Times New Roman" w:hAnsi="Times New Roman" w:cs="Times New Roman"/>
                <w:sz w:val="20"/>
                <w:szCs w:val="20"/>
              </w:rPr>
            </w:pPr>
            <w:r>
              <w:rPr>
                <w:rFonts w:cs="Times New Roman" w:ascii="Times New Roman" w:hAnsi="Times New Roman"/>
                <w:sz w:val="20"/>
                <w:szCs w:val="20"/>
              </w:rPr>
              <w:t>Обустройство мест сбора ТКО (контейнерные - площадки);</w:t>
            </w:r>
          </w:p>
        </w:tc>
        <w:tc>
          <w:tcPr>
            <w:tcW w:w="33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91" w:after="0"/>
              <w:jc w:val="center"/>
              <w:rPr>
                <w:rFonts w:ascii="Times New Roman" w:hAnsi="Times New Roman" w:cs="Times New Roman"/>
                <w:spacing w:val="-2"/>
                <w:sz w:val="20"/>
                <w:szCs w:val="20"/>
              </w:rPr>
            </w:pPr>
            <w:r>
              <w:rPr>
                <w:rFonts w:cs="Times New Roman" w:ascii="Times New Roman" w:hAnsi="Times New Roman"/>
                <w:spacing w:val="-2"/>
                <w:sz w:val="20"/>
                <w:szCs w:val="20"/>
              </w:rPr>
              <w:t>2026-2041</w:t>
            </w:r>
            <w:bookmarkStart w:id="54" w:name="_Hlk224739633"/>
            <w:bookmarkEnd w:id="54"/>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Ожидаемый эффект от реализации инвестиционных проектов и принятой «Программой повышения энергетической эффективности» заключается в повышении надежности ресурсоснабжения, качества ресурсов, а также снижении затрат на ремонты, экономии ресурсов в натуральных показателях и, в конечном счёте, в повышении экономической эффективности функционирования систем коммунальной инфраструктуры.</w:t>
      </w:r>
    </w:p>
    <w:p>
      <w:pPr>
        <w:pStyle w:val="Heading1"/>
        <w:spacing w:lineRule="auto" w:line="240" w:before="0" w:after="0"/>
        <w:ind w:firstLine="567"/>
        <w:rPr>
          <w:rFonts w:ascii="Times New Roman" w:hAnsi="Times New Roman" w:cs="Times New Roman"/>
          <w:bCs/>
          <w:color w:themeColor="text1" w:val="000000"/>
          <w:sz w:val="24"/>
          <w:szCs w:val="24"/>
        </w:rPr>
      </w:pPr>
      <w:bookmarkStart w:id="55" w:name="_Toc224805159"/>
      <w:r>
        <w:rPr>
          <w:rStyle w:val="1"/>
          <w:rFonts w:eastAsia="Calibri"/>
          <w:color w:themeColor="text1" w:val="000000"/>
        </w:rPr>
        <w:t>4.2. Целевые показат</w:t>
      </w:r>
      <w:r>
        <w:rPr>
          <w:rFonts w:cs="Times New Roman" w:ascii="Times New Roman" w:hAnsi="Times New Roman"/>
          <w:bCs/>
          <w:color w:themeColor="text1" w:val="000000"/>
          <w:sz w:val="24"/>
          <w:szCs w:val="24"/>
        </w:rPr>
        <w:t>ели развития коммунальной инфраструктуры</w:t>
      </w:r>
      <w:bookmarkEnd w:id="55"/>
      <w:r>
        <w:rPr>
          <w:rFonts w:cs="Times New Roman" w:ascii="Times New Roman" w:hAnsi="Times New Roman"/>
          <w:bCs/>
          <w:color w:themeColor="text1" w:val="000000"/>
          <w:sz w:val="24"/>
          <w:szCs w:val="24"/>
        </w:rPr>
        <w:t>.</w:t>
      </w:r>
    </w:p>
    <w:p>
      <w:pPr>
        <w:pStyle w:val="Normal"/>
        <w:spacing w:lineRule="auto" w:line="240" w:before="0" w:after="0"/>
        <w:ind w:firstLine="567"/>
        <w:rPr>
          <w:rFonts w:ascii="Times New Roman" w:hAnsi="Times New Roman" w:cs="Times New Roman"/>
          <w:bCs/>
          <w:sz w:val="24"/>
          <w:szCs w:val="24"/>
        </w:rPr>
      </w:pPr>
      <w:r>
        <w:rPr>
          <w:rFonts w:cs="Times New Roman" w:ascii="Times New Roman" w:hAnsi="Times New Roman"/>
          <w:bCs/>
          <w:sz w:val="24"/>
          <w:szCs w:val="24"/>
        </w:rPr>
        <w:t>Теплоснабжение.</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инвестиционных программ организации коммунального комплекса согласно Постановлению Правительства Российской Федерации от 05.05.2014г.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доступности услуг теплоснабжения для населения определяются в целях выявления необходимости организации развития централизованной системы теплоснабжения для населения, необеспеченного такой системой. К таким показателям относится индекс нового строительства и определяется как отношение протяженности сетей, построенных за последний отчетный период (год), к общей протяженности сетей.</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спроса на коммунальные ресурсы и перспективной нагрузки устанавливаются в целях определения нагрузки на систему централизованного теплоснабжения, необходимости увеличения мощностей тепло источников и (или) пропускной способности магистральных тепловых сетей. Фактические объемы производства и отпуска тепловой энергии определяются по показаниям приборов учета, а в случае их отсутствия–по нормативам потребления для различных категорий потребителей, установленным в соответствии с действующей нормативной документацией. Перспективные объемы теплопотребления и нагрузки определяются на основании действующей нормативно-технической документации.</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величины новых нагрузок, присоединяемых к системам централизованного теплоснабжения в перспективе, позволяют оценить, насколько возрастет потребление тепловой энергии нагрузку на систему в целом. Прирост теплопотребления определяется как разница объема потребления ресурса за текущий и прошлый год. Индекс прироста определяется как отношение прироста  текущего объема теплопотребления к объему тепло потребления за предыдущий период.</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качества поставляемой тепловой энергии позволяют выявить его соответствие или несоответствие совокупности установленных нормативными правовыми актами Российской Федерации и (или) договорами теплоснабжения характеристик теплоснабжения, в том числе термодинамических параметров теплоносителя.</w:t>
      </w:r>
    </w:p>
    <w:p>
      <w:pPr>
        <w:pStyle w:val="Normal"/>
        <w:spacing w:lineRule="auto" w:line="240" w:before="0" w:after="0"/>
        <w:ind w:firstLine="567" w:right="105"/>
        <w:jc w:val="both"/>
        <w:rPr>
          <w:rFonts w:ascii="Times New Roman" w:hAnsi="Times New Roman" w:cs="Times New Roman"/>
          <w:spacing w:val="-2"/>
          <w:sz w:val="24"/>
          <w:szCs w:val="24"/>
        </w:rPr>
      </w:pPr>
      <w:r>
        <w:rPr>
          <w:rFonts w:cs="Times New Roman" w:ascii="Times New Roman" w:hAnsi="Times New Roman"/>
          <w:sz w:val="24"/>
          <w:szCs w:val="24"/>
        </w:rPr>
        <w:t xml:space="preserve">Показатель степени охвата потребителей приборами учета позволяют установить какое количество потребителей необходимо обеспечить приборами коммерческого учета. 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в целях установления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а также в целях учета расхода и установления расчетов за энергетические ресурсы необходимо обеспечить всех потребителей приборами коммерческого учета тепловой энергии. Обеспеченность потребителейприборамиучетаустанавливаетсяподанныморганизациикоммунального </w:t>
      </w:r>
      <w:r>
        <w:rPr>
          <w:rFonts w:cs="Times New Roman" w:ascii="Times New Roman" w:hAnsi="Times New Roman"/>
          <w:spacing w:val="-2"/>
          <w:sz w:val="24"/>
          <w:szCs w:val="24"/>
        </w:rPr>
        <w:t>комплекса.</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надежности позволят выявить слабые стороны системы тепло снабжения и разработать комплекс мероприятий, направленных на повышение ее надежности и устойчивой работы. Важнейшими элементами системы теплоснабжения являются котельные и тепловые сети. К ним предъявляются повышенные требования бесперебойной подачи тепловой энергии в течение суток в требуемом количестве и надлежащего качества. Физический износ тепловых сетей и котельных устанавливается как отношение фактического срока службы оборудования к сумме нормативного и возможного остаточного срока. Удельный вес тепловых сетей, нуждающихся в замене, определяется как отношение протяженности тепловых сетей, нуждающихся в замене, к общей протяженности тепловых сетей. Аварийность системы теплоснабжения устанавливается как отношение количества аварий к общей протяженности тепловых сетей.</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производства и транспорта тепловой энергии позволяют выявить дефицит или резерв мощности тепло источников, определить необходимость разработки мероприятий по увеличению установленной мощности, уровень технологических потерь в тепловых сетях. Уровень загрузки производственных мощностей определяется как отношение фактической производительности оборудования котельных к их установленной мощности. Уровень потерь определяется как отношение объема потерь тепловой энергии к объёму отпуска в сеть.</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потребления тепловой энергии позволяют оценить динамику объемов потребления ресурса и необходимость разработки мероприятий по увеличению производительности, а также для обеспечения требуемого запаса мощности для сглаживания пиковых нагрузок. Удельное тепло потребление на одног ожителя определяется как отношение объема реализации товаров и услуг к численности населения, получающего товары и услуги организации.</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воздействия на окружающую среду устанавливаются с целью выявления наличия или отсутствия превышения выбросов вредных веществ и устанавливаются по данным, предоставленным организацией коммунального комплекса.</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bCs/>
          <w:sz w:val="24"/>
          <w:szCs w:val="24"/>
        </w:rPr>
        <w:t>Водоотведение.</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инвестиционных программ  организации коммунального комплекса согласно Постановлению Правительства Российской Федерации от 29.07.2013г. № 641 «Об инвестиционных и производственных программах организаций, осуществляющих деятельность в сфере водоснабжения и водоотведения».</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доступности для населения коммунальной услуги определяются в целях выявления необходимости организации и развития системы водоотведения для населения, не обеспеченного такой системой. Доля потребителей в жилых домах, обеспеченных доступом к коммунальной инфраструктуре, определяется как отношение численности населения, получающего коммунальные услуги, к численности населения муниципального образования. Индекс  нового строительства определяется как  отношение протяженности сетей, построенных за последний отчетный период (год), к общей протяженности сетей.</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спроса на коммунальные ресурсы и перспективной нагрузки устанавливаются в целях определения нагрузки на систему, необходимости увеличения мощностей канализационных насосных станций, очистных сооружений и диаметров магистральных сетей водоотведения. Фактический объем реализации товаров и услуг (количество отведенных сточных вод) определяется по показаниям приборов учета, в случае их отсутствия–по нормативам потребления и иным нормам расхода воды для различных категорий потребителей, установленным в соответствии с законодательством. Перспективные объемы водоотведения определяются на основании действующей нормативно-технической документации.</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величины новых нагрузок, присоединяемых в перспективе, позволят оценить, насколько возрастет потребление ресурса и нагрузка на систему, увеличится производительность канализационных насосных станций и очистных сооружений. Прирост потребления ресурса определяется как разница объема водоотведения ресурса за текущий и прошлый год.</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качества поставляемого ресурса позволяют выявить наличие или отсутствие негативного воздействия на водные объекты и разработать мероприятия по ликвидации и вредного воздействия при его наличии. Наличие контроля качества товаров и услуг, соответствие качества товаров и услуг установленным требованиям устанавливается по предоставленным данным организацией коммунального комплекса. В  соответствии с Федеральным законом от 30.03.1999 № 52-ФЗ «О санитарно-эпидемиологическом благополучии населения» является обязательным соблюдение гражданами, индивидуальными предпринимателями и юридическими лицами санитарных правил как составной части осуществляемой ими деятельности. Действующие санитарные нормы и требования устанавливает гигиенические требования к качеству  воды водных объектов в пунктах питьевого, хозяйственно-бытового и рекреационного водопользования, к условиям отведения сточных вод вводные объекты, к объектам водоотведения, способных оказать влияние на состояние поверхностных вод, а так же требования к организации контроля за качеством воды водных объектов. Водопользователи на основе регламентированных условий сброса сточных вод и требований к различным видам хозяйственной деятельности обязаны обеспечить разработку и реализацию водоохранах мероприятий, осуществление контроля за использование ими охраной вод, принятие мер по предотвращению и ликвидации загрязнения водных объектов, вт.ч. и вследствие залпового или аварийного сброса.</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степени охвата потребителей приборами учета отводимых сточных вод равны нулю. В тоже время объем сточных вод, отводимых от каждого абонента, можно установить по указанному в нормативных документах равенству между объемами потребляемой воды и отводимым объемом сточных вод, без учета воды, используемой для полива зеленых насаждений в летнее время. Таким образом, можно сказать, что фактический уровень обеспеченности приборами учета отводимых сточных вод будет равен аналогичному показателю обеспеченности абонентов приборами учета потребляемой воды. При необходимости произвести фактические замеры объемов сточных вод, на выпуске каждого из абонентов предусмотрен контрольный колодец, в который устанавливаются мобильные средства измерения. Обеспеченность потребителей товаров и услуг приборами учета устанавливается по данным организации коммунального комплекса. Показатели надежности позволят выявить «слабые стороны» системы и разработать комплекс мероприятий, направленных на повышение надежности, качества и экологической безопасности системы водоотведения, обеспечить ее устойчивую работу. Важнейшими элементами системы водоотведения являются канализационные насосные станции, очистные сооружения и канализационные сети. К ним предъявляются повышенные требования бесперебойного отведения сточных вод в течение суток в требуемом количестве. Физический износ сетей и сооружений устанавливается как отношение фактического срока службы оборудования к сумме нормативного и возможного остаточного срока. Удельный вес сетей, нуждающихся в замене, определяется как отношение протяженности сетей, нуждающихся в замене, к протяженности всех сетей. Аварийность систем коммунальной инфраструктуры устанавливается как отношение количества аварий на системе коммунальной инфраструктуры к протяженности сетей. Процент ежегодно заменяемых сетей определяется как отношение протяженности замененных сетей к общей протяженности сетей.</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производства и транспортировки ресурса позволяют выявить дефицит или резерв мощностей очистных сооружений системы водоотведения и необходимость разработки мероприятий по увеличению производительности очистных сооружений для обеспечения принятия прогнозного объема сточных вод и требуемого запаса мощности для сглаживания пиковых нагрузок. Уровень загрузки сооружений определяется как отношение фактической производительности оборудования к установленной. Уровень потерь определяется как отношение объема потерь к объёму сточных вод, поступающего в сеть.</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воздействия на окружающую среду устанавливаются с целью выявления наличия или отсутствия негативного воздействия на окружающую среду от токсичных веществ, используемых в  технологии дезинфекции сточных вод, что позволит разработать мероприятия по ликвидации вредного воздействия при его наличии. Негативное воздействие на окружающую среду (использование СДЯВ) устанавливается по предоставленным данным организацией коммунального комплекса.</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bCs/>
          <w:sz w:val="24"/>
          <w:szCs w:val="24"/>
        </w:rPr>
        <w:t>Водоснабжение.</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инвестиционных программ организации коммунального комплекса согласно Постановлению Правительства Российской Федерации от 29.07.2013 № 641 «Об инвестиционных и производственных программах организаций, осуществляющих деятельность в сфере водоснабжения и водоотведения».</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доступности для населения услуг и водоснабжения определяются в целях выявления необходимости организации и развития системы водоснабжения для населения, не обеспеченного такой системой. К таким показателям относятся доля потребителей в жилых домах, обеспеченных доступом к коммунальной инфраструктуре и индекс нового строительства. Доля потребителей в жилых домах, обеспеченных доступом к коммунальной инфраструктуре, определяется как отношение численности населения, получающего коммунальные услуги, к численности населения муниципального образования.</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спроса на коммунальные ресурсы и перспективной нагрузки устанавливаются в целях определения нагрузки на систему, необходимости увеличения мощностей водозаборных, водоочистных сооружений и диаметров магистральных сетей водоснабжения. Объем производства товаров и услуг определяется по ежедневным записям в технических журналах насосных станций на основании показаний водомеров, а при отсутствии–по времени работы насосов и их установленной производительности в час или по другим, более точным методам учета (например, по объему резервуаров, расположенных на территории насосных станций). Фактический объем реализации товаров и услуг (количество реализованной воды) определяется по показаниям приборов учета, в случае их отсутствия–по нормативам потребления и иным нормам расхода воды для различных категорий потребителей, установленным в соответствии с законодательством. Перспективные объемы водопотребления определяются на основании действующей нормативно-технической документации.</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величины новых нагрузок, присоединяемых в перспективе, позволят оценить, на сколько возрастет потребление ресурса и нагрузка на систему, увеличится производительность водозаборных и водоочистных сооружений. Прирост водопотребления определяется как разница объемов потребления ресурса за текущий и прошлый год.</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качества поставляемого ресурса позволяют, выявить соответствие или не соответствие качества питьевой воды, подаваемой системой водоснабжения, гигиеническим требованиям. В соответствии с Федеральным законом от 30.03.1999 № 52- ФЗ «О санитарно-эпидемиологическом благополучии населения»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Качество питьевой воды, подаваемой системой водоснабжения, должно соответствовать действующим санитарным требованиям. Производственный контроль качества питьевой воды обеспечивается индивидуальным предпринимателем или юридическим лицом, осуществляющим эксплуатацию системы водоснабжения, по рабочей программе. Наличие контроля качества товаров и услуг, соответствие качества товаров и услуг установленным требованиям устанавливается по данным организации коммунального комплекса.</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степени охвата потребителей приборами учета позволяют установить какое количество потребителей необходимо обеспечить приборами учета воды. 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в целях установления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а также в целях учета расхода и установления расчетов за энергетические ресурсы необходимо обеспечить потребителей приборами коммерческого учета. Для обеспечения 100% оснащенности приборами коммерческого учета воды необходимо выполнять мероприятия 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надежности позволят выявить «слабые стороны» системы и разработать комплекс мероприятий, направленных на повышение надежности и качества системы водоснабжения, обеспечить ее устойчивую работу. Важнейшими элементами системы водоснабжения являются водозаборные и водоочистные сооружения, водопроводные сети. К ним предъявляются повышенные требования бесперебойной подачи воды в течение суток в требуемом количестве и надлежащего качества. Физический износ сетей и сооружений устанавливается как отношение фактического срока службы оборудования к сумме нормативного и возможного остаточного  срока. Удельный вес сетей, нуждающихся в замене, определяется как отношение протяженности сетей, нуждающихся в замене, к протяженности всех сетей. Аварийность систем коммунальной инфраструктуры устанавливается как отношение количеств аварий на системе коммунальной инфраструктуры к протяженности сетей. Процент ежегодно заменяемых сетей определяется как отношение протяженности замененных сетей к общей протяженности сетей.</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производства позволяют выявить дефицит или резерв мощностей водозаборных и водоочистных сооружений и необходимость разработки мероприятий по увеличению производительности сооружений для обеспечения всех потребителей водой питьевого качества, а также для обеспечения требуемого запаса мощности для сглаживания пиковых нагрузок, уровень потерь при транспортировке ресурса для разработки мероприятий по рациональному использованию воды. Уровень загрузки сооружений определяется как отношение фактической производительности оборудования к установленной. Уровень потерь определяется как отношение объема потерь к объёму отпуска в сеть.</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воздействия на окружающую среду устанавливается с целью выявления наличия или отсутствия негативного воздействия на окружающую среду от токсичных веществ, используемых в технологии дезинфекции воды, что позволит разработать мероприятия по ликвидации вредного воздействия при его наличии. Негативное воздействие на окружающую среду (использование СДЯВ), превышение выбросов вредных веществ ПДК устанавливается по предоставленным данным организацией коммунального комплекса.</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Газоснабжение.</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программ газификации согласно Постановлению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доступности для населения услуги газоснабжения определяются в целях выявления необходимости организации развития централизованной системы газоснабжения для населения, не имеющего возможности воспользоваться услугой централизованного газоснабжения природным газом. К таким показателям относятся доля потребителей в жилых домах, обеспеченных доступом к системе газоснабжения и индекс нового строительства. Доля потребителей в жилых домах, обеспеченных доступом к централизованному газоснабжению, определяется как отношение численности населения, имеющих доступ к централизованному газоснабжению, к общей численности населения муниципального образования. Индекс нового строительства определяется как отношение протяженности сетей, построенных за последний отчетный период (год), к общей протяженности сетей.</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спроса устанавливаются в целях определения нагрузки на систему, необходимости увеличения мощностей объектов газоснабжения и пропускной способности сетей газоснабжения. Фактический объем реализации природного газа определяется по показаниям приборов учета. Перспективные объемы газопотребления определяются на основании действующих нормативно-правовых актов или нормативно-технической документации.</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величины новых  нагрузок, присоединяемых в перспективе, позволяют оценить, на сколько возрастет потребление ресурса и нагрузка на систему. Прирост газопотребления определяется как разница объема потребления ресурса за текущий и прошлый год. Индекс прироста определяется как отношение текущего прироста объема потребления ресурса к объему потребления ресурса за предыдущий период.</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качества поставляемого ресурса позволяют выявить соответствие или несоответствие качества газа, подаваемой системой газоснабжения.</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степени охвата потребителей приборами учета позволяют установить какое количество потребителей необходимо обеспечить приборами коммерческого учета.</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надежности позволят выявить «слабые стороны» системы и разработать комплекс мероприятий, направленных на повышение надежности и качества системы газоснабжения, обеспечить ее устойчивую работу. Износ сетей и сооружений устанавливается как отношение фактического срока службы оборудования к сумме нормативного и возможного остаточного срока. Удельный вес сетей, нуждающихся в замене, определяется как отношение протяженности сетей, нуждающихся в замене, к протяженности всех сетей. Аварийность систем коммунальной инфраструктуры устанавливается как отношение количества аварий на системе коммунальной инфраструктуры к протяженности сетей. Процент ежегодно заменяемых сетей определяется как отношение протяженности замененных сетей к общей протяженности сетей.</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производства позволяют оценить эффективность производства, выявить проблемные вопросы и найти пути повышению эффективности. Уровень потерь определяется как отношение объема потерь к объёму отпуска в сеть.</w:t>
      </w:r>
    </w:p>
    <w:p>
      <w:pPr>
        <w:pStyle w:val="Normal"/>
        <w:spacing w:lineRule="auto" w:line="240" w:before="0"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потребления коммунального ресурса позволяют оценить динамику объемов потребления ресурса и необходимость разработки мероприятий по увеличению производительности сооружений для обеспечения всех потребителей газом, а также для обеспечения требуемого запаса мощности в часы пиковых нагрузок. Удельное потребление газа на одного жителя определяется как отношение объема реализации товаров и услуг к численности населения, получающего товары и услуги организации.</w:t>
      </w:r>
    </w:p>
    <w:p>
      <w:pPr>
        <w:pStyle w:val="Normal"/>
        <w:spacing w:lineRule="auto" w:line="240" w:before="0" w:after="0"/>
        <w:ind w:firstLine="567" w:right="111"/>
        <w:jc w:val="both"/>
        <w:rPr>
          <w:rFonts w:ascii="Times New Roman" w:hAnsi="Times New Roman" w:cs="Times New Roman"/>
          <w:sz w:val="24"/>
          <w:szCs w:val="24"/>
        </w:rPr>
      </w:pPr>
      <w:r>
        <w:rPr>
          <w:rFonts w:cs="Times New Roman" w:ascii="Times New Roman" w:hAnsi="Times New Roman"/>
          <w:sz w:val="24"/>
          <w:szCs w:val="24"/>
        </w:rPr>
        <w:t>Показатели воздействия на окружающую среду устанавливается с целью выявления наличия или отсутствия негативного воздействия на окружающую среду.</w:t>
      </w:r>
    </w:p>
    <w:p>
      <w:pPr>
        <w:pStyle w:val="Normal"/>
        <w:spacing w:lineRule="auto" w:line="240" w:before="0" w:after="0"/>
        <w:ind w:firstLine="567" w:right="111"/>
        <w:jc w:val="both"/>
        <w:rPr>
          <w:rFonts w:ascii="Times New Roman" w:hAnsi="Times New Roman" w:cs="Times New Roman"/>
          <w:sz w:val="24"/>
          <w:szCs w:val="24"/>
        </w:rPr>
      </w:pPr>
      <w:r>
        <w:rPr>
          <w:rFonts w:cs="Times New Roman" w:ascii="Times New Roman" w:hAnsi="Times New Roman"/>
          <w:bCs/>
          <w:sz w:val="24"/>
          <w:szCs w:val="24"/>
        </w:rPr>
        <w:t>Электроснабжение.</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инвестиционных программ организации коммунального комплекса согласно Постановлению Правительства Российской Федерации от 01.12.2009 № 977 «Об инвестиционных программах субъектов электроэнергетики».</w:t>
      </w:r>
    </w:p>
    <w:p>
      <w:pPr>
        <w:pStyle w:val="Normal"/>
        <w:spacing w:lineRule="auto" w:line="240" w:before="0" w:after="0"/>
        <w:ind w:firstLine="567" w:right="105"/>
        <w:jc w:val="both"/>
        <w:rPr>
          <w:rFonts w:ascii="Times New Roman" w:hAnsi="Times New Roman" w:cs="Times New Roman"/>
          <w:spacing w:val="9"/>
          <w:sz w:val="24"/>
          <w:szCs w:val="24"/>
        </w:rPr>
      </w:pPr>
      <w:r>
        <w:rPr>
          <w:rFonts w:cs="Times New Roman" w:ascii="Times New Roman" w:hAnsi="Times New Roman"/>
          <w:sz w:val="24"/>
          <w:szCs w:val="24"/>
        </w:rPr>
        <w:t>Показатели доступности для населения услуги электроснабжения определяются в целях выявления необходимости организации и развития централизованной системы электроснабжения для населения, необеспеченного такой системой.</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К таким показателям относятся доля потребителей в жилых домах, обеспеченных доступом к коммунальной инфраструктуре и индекс нового строительства. Доля потребителей в жилых домах, обеспеченных доступом к коммунальной инфраструктуре, определяется как отношение численности населения, получающего коммунальные услуги, к численности населения муниципального образования. Индекс нового строительства определяется как отношение протяженности сетей, построенных за последний отчетный период (год), к общей протяженности сетей.</w:t>
      </w:r>
    </w:p>
    <w:p>
      <w:pPr>
        <w:pStyle w:val="Normal"/>
        <w:spacing w:lineRule="auto" w:line="240" w:before="2" w:after="0"/>
        <w:ind w:firstLine="567" w:right="107"/>
        <w:jc w:val="both"/>
        <w:rPr>
          <w:rFonts w:ascii="Times New Roman" w:hAnsi="Times New Roman" w:cs="Times New Roman"/>
          <w:sz w:val="24"/>
          <w:szCs w:val="24"/>
        </w:rPr>
      </w:pPr>
      <w:r>
        <w:rPr>
          <w:rFonts w:cs="Times New Roman" w:ascii="Times New Roman" w:hAnsi="Times New Roman"/>
          <w:sz w:val="24"/>
          <w:szCs w:val="24"/>
        </w:rPr>
        <w:t>Показатели спроса на коммунальные ресурсы и перспективной нагрузки устанавливаются в целях определения нагрузки на систему, необходимости увеличения мощностей питающих подстанций, сечения питающих и магистральных сетей электроснабжения. Фактический объем реализации товаров и услуг (количество реализованной электроэнергии) определяется по показаниям приборов учета, в случае их отсутствия–по нормативам потребления, установленным в соответствии с законодательством. Электрическая нагрузка–суммарная нагрузка всех потребителей, подключенных к сетям в режиме пикового потребления. Перспективные объемы электропотребления определяются на основании действующей нормативно-технической документации.</w:t>
      </w:r>
    </w:p>
    <w:p>
      <w:pPr>
        <w:pStyle w:val="Normal"/>
        <w:spacing w:lineRule="auto" w:line="240" w:before="1" w:after="0"/>
        <w:ind w:firstLine="567" w:right="106"/>
        <w:jc w:val="both"/>
        <w:rPr>
          <w:rFonts w:ascii="Times New Roman" w:hAnsi="Times New Roman" w:cs="Times New Roman"/>
          <w:sz w:val="24"/>
          <w:szCs w:val="24"/>
        </w:rPr>
      </w:pPr>
      <w:r>
        <w:rPr>
          <w:rFonts w:cs="Times New Roman" w:ascii="Times New Roman" w:hAnsi="Times New Roman"/>
          <w:sz w:val="24"/>
          <w:szCs w:val="24"/>
        </w:rPr>
        <w:t>Показатели величины новых нагрузок, при соединяемых в перспективе, позволяют оценить, на сколько возрастет потребление ресурса и нагрузка на систему, увеличится мощность питающих подстанций. При рост электропотребления определяется как разница объема потребления ресурса за текущий и прошлый год. Индекс прироста определяется как отношение текущего объема прироста потребления ресурса к объему потребления ресурса за предыдущий период.</w:t>
      </w:r>
    </w:p>
    <w:p>
      <w:pPr>
        <w:pStyle w:val="Normal"/>
        <w:spacing w:lineRule="auto" w:line="240" w:before="1" w:after="0"/>
        <w:ind w:firstLine="567" w:right="107"/>
        <w:jc w:val="both"/>
        <w:rPr>
          <w:rFonts w:ascii="Times New Roman" w:hAnsi="Times New Roman" w:cs="Times New Roman"/>
          <w:sz w:val="24"/>
          <w:szCs w:val="24"/>
        </w:rPr>
      </w:pPr>
      <w:r>
        <w:rPr>
          <w:rFonts w:cs="Times New Roman" w:ascii="Times New Roman" w:hAnsi="Times New Roman"/>
          <w:sz w:val="24"/>
          <w:szCs w:val="24"/>
        </w:rPr>
        <w:t>Основными показателями качества (эффективности) системы электроснабжения являются:</w:t>
      </w:r>
    </w:p>
    <w:p>
      <w:pPr>
        <w:pStyle w:val="Normal"/>
        <w:tabs>
          <w:tab w:val="clear" w:pos="708"/>
          <w:tab w:val="left" w:pos="1530" w:leader="none"/>
        </w:tabs>
        <w:spacing w:lineRule="auto" w:line="240" w:before="50" w:after="0"/>
        <w:ind w:firstLine="567"/>
        <w:jc w:val="both"/>
        <w:rPr>
          <w:rFonts w:ascii="Times New Roman" w:hAnsi="Times New Roman" w:cs="Times New Roman"/>
          <w:sz w:val="24"/>
          <w:szCs w:val="24"/>
        </w:rPr>
      </w:pPr>
      <w:r>
        <w:rPr>
          <w:rFonts w:cs="Times New Roman" w:ascii="Times New Roman" w:hAnsi="Times New Roman"/>
          <w:sz w:val="24"/>
          <w:szCs w:val="24"/>
        </w:rPr>
        <w:t>- необходимое гарантированное количество электрической энергии;</w:t>
      </w:r>
    </w:p>
    <w:p>
      <w:pPr>
        <w:pStyle w:val="Normal"/>
        <w:tabs>
          <w:tab w:val="clear" w:pos="708"/>
          <w:tab w:val="left" w:pos="1530" w:leader="none"/>
        </w:tabs>
        <w:spacing w:lineRule="auto" w:line="240" w:before="23" w:after="0"/>
        <w:ind w:firstLine="567"/>
        <w:jc w:val="both"/>
        <w:rPr>
          <w:rFonts w:ascii="Times New Roman" w:hAnsi="Times New Roman" w:cs="Times New Roman"/>
          <w:sz w:val="24"/>
          <w:szCs w:val="24"/>
        </w:rPr>
      </w:pPr>
      <w:r>
        <w:rPr>
          <w:rFonts w:cs="Times New Roman" w:ascii="Times New Roman" w:hAnsi="Times New Roman"/>
          <w:sz w:val="24"/>
          <w:szCs w:val="24"/>
        </w:rPr>
        <w:t>- обеспечение электроэнергией, отвечающей стандартам качества;</w:t>
      </w:r>
    </w:p>
    <w:p>
      <w:pPr>
        <w:pStyle w:val="Normal"/>
        <w:tabs>
          <w:tab w:val="clear" w:pos="708"/>
          <w:tab w:val="left" w:pos="1530" w:leader="none"/>
        </w:tabs>
        <w:spacing w:lineRule="auto" w:line="240" w:before="21" w:after="0"/>
        <w:ind w:firstLine="567"/>
        <w:jc w:val="both"/>
        <w:rPr>
          <w:rFonts w:ascii="Times New Roman" w:hAnsi="Times New Roman" w:cs="Times New Roman"/>
          <w:sz w:val="24"/>
          <w:szCs w:val="24"/>
        </w:rPr>
      </w:pPr>
      <w:r>
        <w:rPr>
          <w:rFonts w:cs="Times New Roman" w:ascii="Times New Roman" w:hAnsi="Times New Roman"/>
          <w:sz w:val="24"/>
          <w:szCs w:val="24"/>
        </w:rPr>
        <w:t>- обеспечение резервирования системы электроснабжения.</w:t>
      </w:r>
    </w:p>
    <w:p>
      <w:pPr>
        <w:pStyle w:val="Normal"/>
        <w:spacing w:lineRule="auto" w:line="240" w:before="20" w:after="0"/>
        <w:ind w:firstLine="567" w:right="108"/>
        <w:jc w:val="both"/>
        <w:rPr>
          <w:rFonts w:ascii="Times New Roman" w:hAnsi="Times New Roman" w:cs="Times New Roman"/>
          <w:sz w:val="24"/>
          <w:szCs w:val="24"/>
        </w:rPr>
      </w:pPr>
      <w:r>
        <w:rPr>
          <w:rFonts w:cs="Times New Roman" w:ascii="Times New Roman" w:hAnsi="Times New Roman"/>
          <w:sz w:val="24"/>
          <w:szCs w:val="24"/>
        </w:rPr>
        <w:t>Фактическое состояние уровня и качества электроснабжения подтверждается специализированным органом по сертификации на соответствие действующим требованиям по результатам инспекционных испытаний электрической энергии, проведённых аккредитованной испытательной лабораторией.</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степени охвата потребителей приборами учета позволяют установить какое количество потребителей необходимо обеспечить приборами коммерческого учета. В соответствии с Федеральным законом от 23.11.2009 № 261-ФЗ «Об энергосбережениии о повышении энергетической эффективности, и о внесении изменений в отдельные законодательные акты Российской Федерации» (далее также–Федеральный закон № 261- ФЗ) в целях установления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а также в целях учета расхода и установления расчетов за энергетические ресурсы необходимо обеспечить потребителей приборами коммерческого учета. Обеспеченность потребителей товаров и услуг приборами учета устанавливается по данным организации коммунального комплекса.</w:t>
      </w:r>
    </w:p>
    <w:p>
      <w:pPr>
        <w:pStyle w:val="Normal"/>
        <w:spacing w:lineRule="auto" w:line="240" w:before="1"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надежности позволят выявить «слабые стороны» системы и разработать комплекс мероприятий, направленных на повышение надежности и качества системы электроснабжения, обеспечить ее устойчивую работу. Важнейшими элементами системы электроснабжения являются электрические подстанции, электростанции, центральные распределительные пункты, трансформаторные подстанции сети электроснабжения. К ним предъявляются повышенные требования бесперебойной подачи электрической энергии в течение суток в требуемом количестве и надлежащего качества. Физический износ сетей и сооружений устанавливается как отношение фактического срока службы оборудования к сумме нормативного и возможного остаточного срока. Удельный вес сетей, нуждающихся в замене, определяется как отношение протяженности сетей, нуждающихся в замене, к протяженности всех сетей. Аварийность систем коммунальной инфраструктуры устанавливается как отношение количества аварий на системе коммунальной инфраструктуры к протяженности сетей. Процент ежегодно заменяемых сетей определяется как отношение протяженности замененных сетей к общей протяженности сетей.</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производства позволяют выявить дефицит или профицит мощностей на питающих понизительных подстанциях и необходимость разработки мероприятий по увеличению производительности этих объектов для обеспечения всех потребителей электрической энергией, а также для обеспечения требуемого запаса мощности. Уровень загрузки объектов электроснабжения определяется как отношение подключенной нагрузки к установленной мощности этих объектов. Уровень потерь определяется как отношение объема потерь к объёму отпуска в сеть. Коэффициент потерь определяется как отношение объема потерь к протяженности сети.</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позволяют оценить динамику объемов потребления ресурса на одного жителя, также необходимость разработки мероприятий по увеличению производительности питающих подстанций для обеспечения всех потребителей электрической энергией. Удельное энергопотребление на одного жителя определяется как отношение объема реализации товаров и услуг, реализованных населению, к численности данного населения, проживающего в жилых домах, подключенных к системе централизованного электроснабжения и получающего услуги организации.</w:t>
      </w:r>
    </w:p>
    <w:p>
      <w:pPr>
        <w:pStyle w:val="Normal"/>
        <w:spacing w:lineRule="auto" w:line="240" w:before="1" w:after="0"/>
        <w:ind w:firstLine="567" w:right="109"/>
        <w:jc w:val="both"/>
        <w:rPr>
          <w:rFonts w:ascii="Times New Roman" w:hAnsi="Times New Roman" w:cs="Times New Roman"/>
          <w:sz w:val="24"/>
          <w:szCs w:val="24"/>
        </w:rPr>
      </w:pPr>
      <w:r>
        <w:rPr>
          <w:rFonts w:cs="Times New Roman" w:ascii="Times New Roman" w:hAnsi="Times New Roman"/>
          <w:sz w:val="24"/>
          <w:szCs w:val="24"/>
        </w:rPr>
        <w:t>Показатель воздействия на окружающую среду устанавливается с целью выявления наличия или отсутствия негативного воздействия на окружающую среду. Основными факторами, отрицательно влияющими на здоровье людей и окружающую среду, в системе электроснабжения являются:</w:t>
      </w:r>
    </w:p>
    <w:p>
      <w:pPr>
        <w:pStyle w:val="Normal"/>
        <w:numPr>
          <w:ilvl w:val="0"/>
          <w:numId w:val="2"/>
        </w:numPr>
        <w:tabs>
          <w:tab w:val="clear" w:pos="708"/>
          <w:tab w:val="left" w:pos="0" w:leader="none"/>
        </w:tabs>
        <w:spacing w:lineRule="auto" w:line="240" w:before="0" w:after="0"/>
        <w:ind w:firstLine="567" w:left="0" w:right="108"/>
        <w:jc w:val="both"/>
        <w:rPr>
          <w:rFonts w:ascii="Times New Roman" w:hAnsi="Times New Roman" w:cs="Times New Roman"/>
          <w:sz w:val="24"/>
          <w:szCs w:val="24"/>
        </w:rPr>
      </w:pPr>
      <w:r>
        <w:rPr>
          <w:rFonts w:cs="Times New Roman" w:ascii="Times New Roman" w:hAnsi="Times New Roman"/>
          <w:sz w:val="24"/>
          <w:szCs w:val="24"/>
        </w:rPr>
        <w:t>переменное электромагнитное поле, создаваемое открытыми распределительными устройствами (ОРУ) и проходящими по территории населенного пункта высоковольтными линиями электропередачи;</w:t>
      </w:r>
    </w:p>
    <w:p>
      <w:pPr>
        <w:pStyle w:val="Normal"/>
        <w:numPr>
          <w:ilvl w:val="0"/>
          <w:numId w:val="2"/>
        </w:numPr>
        <w:tabs>
          <w:tab w:val="clear" w:pos="708"/>
          <w:tab w:val="left" w:pos="0" w:leader="none"/>
        </w:tabs>
        <w:spacing w:lineRule="auto" w:line="240" w:before="14" w:after="0"/>
        <w:ind w:firstLine="567" w:left="0"/>
        <w:jc w:val="both"/>
        <w:rPr>
          <w:rFonts w:ascii="Times New Roman" w:hAnsi="Times New Roman" w:cs="Times New Roman"/>
          <w:sz w:val="24"/>
          <w:szCs w:val="24"/>
        </w:rPr>
      </w:pPr>
      <w:r>
        <w:rPr>
          <w:rFonts w:cs="Times New Roman" w:ascii="Times New Roman" w:hAnsi="Times New Roman"/>
          <w:sz w:val="24"/>
          <w:szCs w:val="24"/>
        </w:rPr>
        <w:t>шум и вибрации;</w:t>
      </w:r>
    </w:p>
    <w:p>
      <w:pPr>
        <w:pStyle w:val="Normal"/>
        <w:numPr>
          <w:ilvl w:val="0"/>
          <w:numId w:val="2"/>
        </w:numPr>
        <w:tabs>
          <w:tab w:val="clear" w:pos="708"/>
          <w:tab w:val="left" w:pos="0" w:leader="none"/>
        </w:tabs>
        <w:spacing w:lineRule="auto" w:line="240" w:before="21" w:after="0"/>
        <w:ind w:firstLine="567" w:left="0" w:right="109"/>
        <w:jc w:val="both"/>
        <w:rPr>
          <w:rFonts w:ascii="Times New Roman" w:hAnsi="Times New Roman" w:cs="Times New Roman"/>
          <w:sz w:val="24"/>
          <w:szCs w:val="24"/>
        </w:rPr>
      </w:pPr>
      <w:r>
        <w:rPr>
          <w:rFonts w:cs="Times New Roman" w:ascii="Times New Roman" w:hAnsi="Times New Roman"/>
          <w:sz w:val="24"/>
          <w:szCs w:val="24"/>
        </w:rPr>
        <w:t>потенциальная опасность поражения электрическим током при возникновении обрывов неизолированных проводов воздушных ЛЭП.</w:t>
      </w:r>
    </w:p>
    <w:p>
      <w:pPr>
        <w:pStyle w:val="Normal"/>
        <w:tabs>
          <w:tab w:val="clear" w:pos="708"/>
          <w:tab w:val="left" w:pos="1530" w:leader="none"/>
        </w:tabs>
        <w:spacing w:lineRule="auto" w:line="240" w:before="22" w:after="0"/>
        <w:ind w:firstLine="567" w:right="110"/>
        <w:jc w:val="both"/>
        <w:rPr>
          <w:rFonts w:ascii="Times New Roman" w:hAnsi="Times New Roman" w:cs="Times New Roman"/>
          <w:sz w:val="24"/>
          <w:szCs w:val="24"/>
        </w:rPr>
      </w:pPr>
      <w:r>
        <w:rPr>
          <w:rFonts w:cs="Times New Roman" w:ascii="Times New Roman" w:hAnsi="Times New Roman"/>
          <w:sz w:val="24"/>
          <w:szCs w:val="24"/>
        </w:rPr>
        <w:t>Отрицательное влияние опасных и вредных факторов действующих объектов системы электроснабжения находится в допустимых пределах.</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Сбор и утилизация твердых коммунальных отходов.</w:t>
      </w:r>
    </w:p>
    <w:p>
      <w:pPr>
        <w:pStyle w:val="Normal"/>
        <w:spacing w:lineRule="auto" w:line="240" w:before="0" w:after="0"/>
        <w:ind w:firstLine="567" w:right="107"/>
        <w:jc w:val="both"/>
        <w:rPr>
          <w:rFonts w:ascii="Times New Roman" w:hAnsi="Times New Roman" w:cs="Times New Roman"/>
          <w:sz w:val="24"/>
          <w:szCs w:val="24"/>
        </w:rPr>
      </w:pPr>
      <w:r>
        <w:rPr>
          <w:rFonts w:cs="Times New Roman" w:ascii="Times New Roman" w:hAnsi="Times New Roman"/>
          <w:sz w:val="24"/>
          <w:szCs w:val="24"/>
        </w:rPr>
        <w:t>Перечень и расчет необходимых целевых показателей устанавливается и выполняется при разработке инвестиционных программ организации коммунального комплекса согласно Постановлению Правительства Российской Федерации от 16.05.2016 № 424 «Об утверждении 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Критерием доступности для населения услуги по сбору и утилизации ТКО является уровень централизованного вывоза ТКО.</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Показателем спроса на услуги по сбору и утилизации ТКО является объем образования ТКО.</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Охват образования твердых коммунальных отходов системой раздельного сбора выражается долей ТКО, направленных на обработку, в общем объеме ТКО.</w:t>
      </w:r>
    </w:p>
    <w:p>
      <w:pPr>
        <w:pStyle w:val="Normal"/>
        <w:spacing w:lineRule="auto" w:line="240" w:before="0" w:after="0"/>
        <w:ind w:firstLine="567" w:right="109"/>
        <w:jc w:val="both"/>
        <w:rPr>
          <w:rFonts w:ascii="Times New Roman" w:hAnsi="Times New Roman" w:cs="Times New Roman"/>
          <w:sz w:val="24"/>
          <w:szCs w:val="24"/>
        </w:rPr>
      </w:pPr>
      <w:r>
        <w:rPr>
          <w:rFonts w:cs="Times New Roman" w:ascii="Times New Roman" w:hAnsi="Times New Roman"/>
          <w:sz w:val="24"/>
          <w:szCs w:val="24"/>
        </w:rPr>
        <w:t>Показателем качества поставляемой услуги по  сбору и утилизации ТКО является соответствие качества данной услуги установленным требованиям.</w:t>
      </w:r>
    </w:p>
    <w:p>
      <w:pPr>
        <w:pStyle w:val="Normal"/>
        <w:spacing w:lineRule="auto" w:line="240" w:before="0" w:after="0"/>
        <w:ind w:firstLine="567" w:right="105"/>
        <w:jc w:val="both"/>
        <w:rPr>
          <w:rFonts w:ascii="Times New Roman" w:hAnsi="Times New Roman" w:cs="Times New Roman"/>
          <w:sz w:val="24"/>
          <w:szCs w:val="24"/>
        </w:rPr>
      </w:pPr>
      <w:r>
        <w:rPr>
          <w:rFonts w:cs="Times New Roman" w:ascii="Times New Roman" w:hAnsi="Times New Roman"/>
          <w:sz w:val="24"/>
          <w:szCs w:val="24"/>
        </w:rPr>
        <w:t>Показатели надежности  системы предоставления услуги по сбору и утилизации ТКО характеризуются устойчивостью в обеспечении населения данной услугой (продолжительностью (бесперебойностью) централизованного вывоза ТКО, наличием контроля качества вывоза ТКО).</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эффективности поставляемой услуги выражены долей отходов, направленных на обработку и захоронение, т.е.прекращение не санкционированного размещения отходов.</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t>Показатели воздействия на окружающую среду устанавливается с целью выявления наличия или отсутствия негативного воздействия объекта захоронения отходов (свалки) на окружающую среду.</w:t>
      </w:r>
    </w:p>
    <w:p>
      <w:pPr>
        <w:pStyle w:val="Normal"/>
        <w:spacing w:lineRule="auto" w:line="240" w:before="0" w:after="0"/>
        <w:ind w:firstLine="567" w:right="1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right="108"/>
        <w:jc w:val="center"/>
        <w:rPr>
          <w:rFonts w:ascii="Times New Roman" w:hAnsi="Times New Roman" w:cs="Times New Roman"/>
          <w:sz w:val="24"/>
          <w:szCs w:val="24"/>
        </w:rPr>
      </w:pPr>
      <w:r>
        <w:rPr>
          <w:rFonts w:cs="Times New Roman" w:ascii="Times New Roman" w:hAnsi="Times New Roman"/>
          <w:sz w:val="24"/>
          <w:szCs w:val="24"/>
        </w:rPr>
        <w:t>5.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w:t>
      </w:r>
    </w:p>
    <w:p>
      <w:pPr>
        <w:pStyle w:val="Normal"/>
        <w:spacing w:lineRule="auto" w:line="240" w:before="0" w:after="0"/>
        <w:ind w:firstLine="567" w:right="108"/>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Туркменском муниципальном округе Ставропольского края инвестиционные проекты в сферах электроснабжения, водоснабжения, водоотведения, энергосбережения и повышения энергетической эффективности формируются на основе утверждённых программ, схем и данных ресурсоснабжающих организаций. Рассмотрим ключевые аспекты.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Инвестиционные проекты в сфере электроснабжения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2025 году сообщалось о планах по модернизации и новому строительству в электросетевом комплексе округа. Инвестиционная программа электросетевых компаний включала: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ввод дополнительных 12 МВт мощности за первые пять месяцев года;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прокладку более 60 км новых электросетей;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планы по вводу ещё 80 МВт новых мощностей и строительству 300 км линий электропередач до конца года.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Эти мероприятия реализуются в рамках общих планов по модернизации электросетевого комплекса Ставропольского края, которые рассчитаны до 2029 года. Они включают строительство новых питающих центров, реконструкцию существующих объектов и обновление инфраструктуры по поручению губернатора.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Инвестиционные проекты в сфере водоснабжения и водоотведения.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2025 году утверждена схема водоснабжения и водоотведения Туркменского муниципального округа на период с 2025 по 2041 год. В рамках этой схемы планируются мероприятия по улучшению качества водоснабжения, включая строительство резервуаров чистой воды. Например, в 2026 году в посёлках Берёзовском и Поперечном планировалось возвести резервуары объёмом 100 кубометров каждый, которые подсоединят к сети водоводами. В Берёзовском также предусматривалось оборудование напорно-регулирующих резервуаров.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Ранее действовала инвестиционная программа ГУП СК «Ставрополькрайводоканал» в сфере холодного водоснабжения и водоотведения на 2020–2028 годы. Она была утверждена приказом министерства жилищно-коммунального хозяйства Ставропольского края и включала мероприятия по обновлению водопроводных и канализационных сетей, а также очистных сооружений.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Инвестиционные проекты в области энергосбережения и повышения энергетической эффективности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 Туркменском муниципальном округе реализуется муниципальная программа, включающая подпрограмму «Обеспечение энергосбережения и повышение энергетической эффективности». Цели программы — повышение эффективности использования топливно-энергетических ресурсов муниципальными учреждениями округа. В рамках подпрограммы планируются мероприятия по снижению затрат на энергоресурсы.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Разработка таких программ регулируется федеральным законодательством, в частности, Федеральным законом № 261-ФЗ «Об энергосбережении и о повышении энергетической эффективности» и Постановлением Правительства РФ № 1289 от 07.10.2019, которое устанавливает целевые показатели снижения потребления энергоресурсов для государственных и муниципальных учреждений.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Особенности финансирования.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Финансирование инвестиционных проектов в сфере ЖКХ может осуществляться за счёт:</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-средств, полученных от оказания услуг по регулируемым государством ценам;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-бюджетных средств (как в случае с резервуарами чистой воды в Туркменском округе, которые получили поддержку из региональной казны); </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-частных инвестиций.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Для проектов в сфере энергосбережения также возможно использование энергосервисных контрактов.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r>
    </w:p>
    <w:p>
      <w:pPr>
        <w:sectPr>
          <w:footerReference w:type="even" r:id="rId21"/>
          <w:footerReference w:type="default" r:id="rId22"/>
          <w:footerReference w:type="first" r:id="rId23"/>
          <w:type w:val="nextPage"/>
          <w:pgSz w:w="11906" w:h="16838"/>
          <w:pgMar w:left="1418" w:right="991" w:gutter="0" w:header="0" w:top="1134" w:footer="708" w:bottom="993"/>
          <w:pgNumType w:fmt="decimal"/>
          <w:formProt w:val="false"/>
          <w:textDirection w:val="lrTb"/>
          <w:docGrid w:type="default" w:linePitch="360" w:charSpace="24576"/>
        </w:sect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 </w:t>
      </w:r>
    </w:p>
    <w:p>
      <w:pPr>
        <w:pStyle w:val="Normal"/>
        <w:spacing w:lineRule="auto" w:line="240" w:before="0" w:after="0"/>
        <w:ind w:firstLine="993" w:left="-142"/>
        <w:jc w:val="right"/>
        <w:rPr>
          <w:rFonts w:ascii="Times New Roman" w:hAnsi="Times New Roman" w:cs="Times New Roman"/>
          <w:sz w:val="24"/>
          <w:szCs w:val="28"/>
        </w:rPr>
      </w:pPr>
      <w:r>
        <w:rPr>
          <w:rFonts w:cs="Times New Roman" w:ascii="Times New Roman" w:hAnsi="Times New Roman"/>
          <w:sz w:val="24"/>
          <w:szCs w:val="28"/>
        </w:rPr>
        <w:t>Таблица 27.</w:t>
      </w:r>
    </w:p>
    <w:tbl>
      <w:tblPr>
        <w:tblW w:w="14638" w:type="dxa"/>
        <w:jc w:val="left"/>
        <w:tblInd w:w="135" w:type="dxa"/>
        <w:tblLayout w:type="fixed"/>
        <w:tblCellMar>
          <w:top w:w="0" w:type="dxa"/>
          <w:left w:w="5" w:type="dxa"/>
          <w:bottom w:w="0" w:type="dxa"/>
          <w:right w:w="5" w:type="dxa"/>
        </w:tblCellMar>
        <w:tblLook w:val="04a0"/>
      </w:tblPr>
      <w:tblGrid>
        <w:gridCol w:w="2867"/>
        <w:gridCol w:w="1140"/>
        <w:gridCol w:w="1133"/>
        <w:gridCol w:w="994"/>
        <w:gridCol w:w="991"/>
        <w:gridCol w:w="852"/>
        <w:gridCol w:w="854"/>
        <w:gridCol w:w="1275"/>
        <w:gridCol w:w="1280"/>
        <w:gridCol w:w="3250"/>
      </w:tblGrid>
      <w:tr>
        <w:trPr>
          <w:trHeight w:val="254" w:hRule="atLeast"/>
        </w:trPr>
        <w:tc>
          <w:tcPr>
            <w:tcW w:w="286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878"/>
              <w:rPr>
                <w:rFonts w:ascii="Times New Roman" w:hAnsi="Times New Roman" w:cs="Times New Roman"/>
                <w:spacing w:val="-2"/>
                <w:sz w:val="20"/>
                <w:szCs w:val="20"/>
              </w:rPr>
            </w:pPr>
            <w:r>
              <w:rPr>
                <w:rFonts w:cs="Times New Roman" w:ascii="Times New Roman" w:hAnsi="Times New Roman"/>
                <w:spacing w:val="-2"/>
                <w:sz w:val="20"/>
                <w:szCs w:val="20"/>
              </w:rPr>
              <w:t>Наименование</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6" w:right="303"/>
              <w:jc w:val="center"/>
              <w:rPr>
                <w:rFonts w:ascii="Times New Roman" w:hAnsi="Times New Roman" w:cs="Times New Roman"/>
                <w:spacing w:val="-4"/>
                <w:sz w:val="20"/>
                <w:szCs w:val="20"/>
              </w:rPr>
            </w:pPr>
            <w:r>
              <w:rPr>
                <w:rFonts w:cs="Times New Roman" w:ascii="Times New Roman" w:hAnsi="Times New Roman"/>
                <w:spacing w:val="-4"/>
                <w:sz w:val="20"/>
                <w:szCs w:val="20"/>
              </w:rPr>
              <w:t>2023</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6" w:right="303"/>
              <w:jc w:val="center"/>
              <w:rPr>
                <w:rFonts w:ascii="Times New Roman" w:hAnsi="Times New Roman" w:cs="Times New Roman"/>
                <w:spacing w:val="-4"/>
                <w:sz w:val="20"/>
                <w:szCs w:val="20"/>
              </w:rPr>
            </w:pPr>
            <w:r>
              <w:rPr>
                <w:rFonts w:cs="Times New Roman" w:ascii="Times New Roman" w:hAnsi="Times New Roman"/>
                <w:spacing w:val="-4"/>
                <w:sz w:val="20"/>
                <w:szCs w:val="20"/>
              </w:rPr>
              <w:t>2024</w:t>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19"/>
              <w:rPr>
                <w:rFonts w:ascii="Times New Roman" w:hAnsi="Times New Roman" w:cs="Times New Roman"/>
                <w:spacing w:val="-4"/>
                <w:sz w:val="20"/>
                <w:szCs w:val="20"/>
              </w:rPr>
            </w:pPr>
            <w:r>
              <w:rPr>
                <w:rFonts w:cs="Times New Roman" w:ascii="Times New Roman" w:hAnsi="Times New Roman"/>
                <w:spacing w:val="-4"/>
                <w:sz w:val="20"/>
                <w:szCs w:val="20"/>
              </w:rPr>
              <w:t>2025</w:t>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5" w:right="232"/>
              <w:jc w:val="center"/>
              <w:rPr>
                <w:rFonts w:ascii="Times New Roman" w:hAnsi="Times New Roman" w:cs="Times New Roman"/>
                <w:spacing w:val="-4"/>
                <w:sz w:val="20"/>
                <w:szCs w:val="20"/>
              </w:rPr>
            </w:pPr>
            <w:r>
              <w:rPr>
                <w:rFonts w:cs="Times New Roman" w:ascii="Times New Roman" w:hAnsi="Times New Roman"/>
                <w:spacing w:val="-4"/>
                <w:sz w:val="20"/>
                <w:szCs w:val="20"/>
              </w:rPr>
              <w:t>2026</w:t>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1" w:right="118"/>
              <w:jc w:val="center"/>
              <w:rPr>
                <w:rFonts w:ascii="Times New Roman" w:hAnsi="Times New Roman" w:cs="Times New Roman"/>
                <w:spacing w:val="-4"/>
                <w:sz w:val="20"/>
                <w:szCs w:val="20"/>
              </w:rPr>
            </w:pPr>
            <w:r>
              <w:rPr>
                <w:rFonts w:cs="Times New Roman" w:ascii="Times New Roman" w:hAnsi="Times New Roman"/>
                <w:spacing w:val="-4"/>
                <w:sz w:val="20"/>
                <w:szCs w:val="20"/>
              </w:rPr>
              <w:t>2027</w:t>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9" w:right="118"/>
              <w:jc w:val="center"/>
              <w:rPr>
                <w:rFonts w:ascii="Times New Roman" w:hAnsi="Times New Roman" w:cs="Times New Roman"/>
                <w:spacing w:val="-4"/>
                <w:sz w:val="20"/>
                <w:szCs w:val="20"/>
              </w:rPr>
            </w:pPr>
            <w:r>
              <w:rPr>
                <w:rFonts w:cs="Times New Roman" w:ascii="Times New Roman" w:hAnsi="Times New Roman"/>
                <w:spacing w:val="-4"/>
                <w:sz w:val="20"/>
                <w:szCs w:val="20"/>
              </w:rPr>
              <w:t>2028</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1" w:right="118"/>
              <w:jc w:val="center"/>
              <w:rPr>
                <w:rFonts w:ascii="Times New Roman" w:hAnsi="Times New Roman" w:cs="Times New Roman"/>
                <w:spacing w:val="-2"/>
                <w:sz w:val="20"/>
                <w:szCs w:val="20"/>
              </w:rPr>
            </w:pPr>
            <w:r>
              <w:rPr>
                <w:rFonts w:cs="Times New Roman" w:ascii="Times New Roman" w:hAnsi="Times New Roman"/>
                <w:spacing w:val="-2"/>
                <w:sz w:val="20"/>
                <w:szCs w:val="20"/>
              </w:rPr>
              <w:t>2029-2033</w:t>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1" w:right="98"/>
              <w:jc w:val="center"/>
              <w:rPr>
                <w:rFonts w:ascii="Times New Roman" w:hAnsi="Times New Roman" w:cs="Times New Roman"/>
                <w:spacing w:val="-2"/>
                <w:sz w:val="20"/>
                <w:szCs w:val="20"/>
              </w:rPr>
            </w:pPr>
            <w:r>
              <w:rPr>
                <w:rFonts w:cs="Times New Roman" w:ascii="Times New Roman" w:hAnsi="Times New Roman"/>
                <w:spacing w:val="-2"/>
                <w:sz w:val="20"/>
                <w:szCs w:val="20"/>
              </w:rPr>
              <w:t>2034-2041</w:t>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4" w:right="201"/>
              <w:jc w:val="center"/>
              <w:rPr>
                <w:rFonts w:ascii="Times New Roman" w:hAnsi="Times New Roman" w:cs="Times New Roman"/>
                <w:spacing w:val="-2"/>
                <w:sz w:val="20"/>
                <w:szCs w:val="20"/>
              </w:rPr>
            </w:pPr>
            <w:r>
              <w:rPr>
                <w:rFonts w:cs="Times New Roman" w:ascii="Times New Roman" w:hAnsi="Times New Roman"/>
                <w:spacing w:val="-2"/>
                <w:sz w:val="20"/>
                <w:szCs w:val="20"/>
              </w:rPr>
              <w:t>Исполнитель</w:t>
            </w:r>
          </w:p>
        </w:tc>
      </w:tr>
      <w:tr>
        <w:trPr>
          <w:trHeight w:val="251" w:hRule="atLeast"/>
        </w:trPr>
        <w:tc>
          <w:tcPr>
            <w:tcW w:w="286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1769"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225" w:right="5193"/>
              <w:jc w:val="center"/>
              <w:rPr>
                <w:rFonts w:ascii="Times New Roman" w:hAnsi="Times New Roman" w:cs="Times New Roman"/>
                <w:sz w:val="20"/>
                <w:szCs w:val="20"/>
              </w:rPr>
            </w:pPr>
            <w:r>
              <w:rPr>
                <w:rFonts w:cs="Times New Roman" w:ascii="Times New Roman" w:hAnsi="Times New Roman"/>
                <w:sz w:val="20"/>
                <w:szCs w:val="20"/>
              </w:rPr>
              <w:t>Тыс. руб.</w:t>
            </w:r>
          </w:p>
        </w:tc>
      </w:tr>
      <w:tr>
        <w:trPr>
          <w:trHeight w:val="276"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1</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2</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3</w:t>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4</w:t>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5</w:t>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6</w:t>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1"/>
              <w:jc w:val="center"/>
              <w:rPr>
                <w:rFonts w:ascii="Times New Roman" w:hAnsi="Times New Roman" w:cs="Times New Roman"/>
                <w:sz w:val="20"/>
                <w:szCs w:val="20"/>
              </w:rPr>
            </w:pPr>
            <w:r>
              <w:rPr>
                <w:rFonts w:cs="Times New Roman" w:ascii="Times New Roman" w:hAnsi="Times New Roman"/>
                <w:sz w:val="20"/>
                <w:szCs w:val="20"/>
              </w:rPr>
              <w:t>7</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1"/>
              <w:jc w:val="center"/>
              <w:rPr>
                <w:rFonts w:ascii="Times New Roman" w:hAnsi="Times New Roman" w:cs="Times New Roman"/>
                <w:sz w:val="20"/>
                <w:szCs w:val="20"/>
              </w:rPr>
            </w:pPr>
            <w:r>
              <w:rPr>
                <w:rFonts w:cs="Times New Roman" w:ascii="Times New Roman" w:hAnsi="Times New Roman"/>
                <w:sz w:val="20"/>
                <w:szCs w:val="20"/>
              </w:rPr>
              <w:t>8</w:t>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9</w:t>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4" w:right="201"/>
              <w:jc w:val="center"/>
              <w:rPr>
                <w:rFonts w:ascii="Times New Roman" w:hAnsi="Times New Roman" w:cs="Times New Roman"/>
                <w:spacing w:val="-6"/>
                <w:sz w:val="20"/>
                <w:szCs w:val="20"/>
              </w:rPr>
            </w:pPr>
            <w:r>
              <w:rPr>
                <w:rFonts w:cs="Times New Roman" w:ascii="Times New Roman" w:hAnsi="Times New Roman"/>
                <w:spacing w:val="-6"/>
                <w:sz w:val="20"/>
                <w:szCs w:val="20"/>
              </w:rPr>
              <w:t>10</w:t>
            </w:r>
          </w:p>
        </w:tc>
      </w:tr>
      <w:tr>
        <w:trPr>
          <w:trHeight w:val="653"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Замена участка тепловых сетей протяженностью 100 м в двухтрубном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74"/>
              <w:rPr>
                <w:rFonts w:ascii="Times New Roman" w:hAnsi="Times New Roman" w:cs="Times New Roman"/>
                <w:spacing w:val="-4"/>
                <w:sz w:val="20"/>
                <w:szCs w:val="20"/>
              </w:rPr>
            </w:pPr>
            <w:r>
              <w:rPr>
                <w:rFonts w:cs="Times New Roman" w:ascii="Times New Roman" w:hAnsi="Times New Roman"/>
                <w:spacing w:val="-4"/>
                <w:sz w:val="20"/>
                <w:szCs w:val="20"/>
              </w:rPr>
              <w:t>534</w:t>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 w:left="172" w:right="138"/>
              <w:jc w:val="center"/>
              <w:rPr>
                <w:rFonts w:ascii="Times New Roman" w:hAnsi="Times New Roman" w:cs="Times New Roman"/>
                <w:spacing w:val="-4"/>
                <w:sz w:val="20"/>
                <w:szCs w:val="20"/>
              </w:rPr>
            </w:pPr>
            <w:r>
              <w:rPr>
                <w:rFonts w:cs="Times New Roman" w:ascii="Times New Roman" w:hAnsi="Times New Roman"/>
                <w:sz w:val="20"/>
                <w:szCs w:val="20"/>
              </w:rPr>
              <w:t xml:space="preserve">ООО «Коммунальное хозяйство» Туркменского муниципального района </w:t>
            </w:r>
            <w:r>
              <w:rPr>
                <w:rFonts w:cs="Times New Roman" w:ascii="Times New Roman" w:hAnsi="Times New Roman"/>
                <w:spacing w:val="-2"/>
                <w:sz w:val="20"/>
                <w:szCs w:val="20"/>
              </w:rPr>
              <w:t xml:space="preserve">Ставропольского </w:t>
            </w:r>
            <w:r>
              <w:rPr>
                <w:rFonts w:cs="Times New Roman" w:ascii="Times New Roman" w:hAnsi="Times New Roman"/>
                <w:spacing w:val="-4"/>
                <w:sz w:val="20"/>
                <w:szCs w:val="20"/>
              </w:rPr>
              <w:t>края</w:t>
            </w:r>
          </w:p>
        </w:tc>
      </w:tr>
      <w:tr>
        <w:trPr>
          <w:trHeight w:val="926"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Замена участка тепловых сетей протяженностью 100 м в двухтрубном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5" w:right="232"/>
              <w:jc w:val="center"/>
              <w:rPr>
                <w:rFonts w:ascii="Times New Roman" w:hAnsi="Times New Roman" w:cs="Times New Roman"/>
                <w:spacing w:val="-4"/>
                <w:sz w:val="20"/>
                <w:szCs w:val="20"/>
              </w:rPr>
            </w:pPr>
            <w:r>
              <w:rPr>
                <w:rFonts w:cs="Times New Roman" w:ascii="Times New Roman" w:hAnsi="Times New Roman"/>
                <w:spacing w:val="-4"/>
                <w:sz w:val="20"/>
                <w:szCs w:val="20"/>
              </w:rPr>
              <w:t>561</w:t>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 w:left="172" w:right="138"/>
              <w:jc w:val="center"/>
              <w:rPr>
                <w:rFonts w:ascii="Times New Roman" w:hAnsi="Times New Roman" w:cs="Times New Roman"/>
                <w:spacing w:val="-4"/>
                <w:sz w:val="20"/>
                <w:szCs w:val="20"/>
              </w:rPr>
            </w:pPr>
            <w:r>
              <w:rPr>
                <w:rFonts w:cs="Times New Roman" w:ascii="Times New Roman" w:hAnsi="Times New Roman"/>
                <w:sz w:val="20"/>
                <w:szCs w:val="20"/>
              </w:rPr>
              <w:t xml:space="preserve">ООО «Коммунальное хозяйство» Туркменского муниципального района </w:t>
            </w:r>
            <w:r>
              <w:rPr>
                <w:rFonts w:cs="Times New Roman" w:ascii="Times New Roman" w:hAnsi="Times New Roman"/>
                <w:spacing w:val="-2"/>
                <w:sz w:val="20"/>
                <w:szCs w:val="20"/>
              </w:rPr>
              <w:t xml:space="preserve">Ставропольского </w:t>
            </w:r>
            <w:r>
              <w:rPr>
                <w:rFonts w:cs="Times New Roman" w:ascii="Times New Roman" w:hAnsi="Times New Roman"/>
                <w:spacing w:val="-4"/>
                <w:sz w:val="20"/>
                <w:szCs w:val="20"/>
              </w:rPr>
              <w:t>края</w:t>
            </w:r>
          </w:p>
        </w:tc>
      </w:tr>
      <w:tr>
        <w:trPr>
          <w:trHeight w:val="788"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z w:val="20"/>
                <w:szCs w:val="20"/>
              </w:rPr>
            </w:pPr>
            <w:r>
              <w:rPr>
                <w:rFonts w:cs="Times New Roman" w:ascii="Times New Roman" w:hAnsi="Times New Roman"/>
                <w:sz w:val="20"/>
                <w:szCs w:val="20"/>
              </w:rPr>
              <w:t>Замена участка тепловых сетей протяженностью 100 м в двух-</w:t>
            </w:r>
          </w:p>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1" w:right="118"/>
              <w:jc w:val="center"/>
              <w:rPr>
                <w:rFonts w:ascii="Times New Roman" w:hAnsi="Times New Roman" w:cs="Times New Roman"/>
                <w:spacing w:val="-4"/>
                <w:sz w:val="20"/>
                <w:szCs w:val="20"/>
              </w:rPr>
            </w:pPr>
            <w:r>
              <w:rPr>
                <w:rFonts w:cs="Times New Roman" w:ascii="Times New Roman" w:hAnsi="Times New Roman"/>
                <w:spacing w:val="-4"/>
                <w:sz w:val="20"/>
                <w:szCs w:val="20"/>
              </w:rPr>
              <w:t>589</w:t>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6" w:left="242" w:right="208"/>
              <w:jc w:val="both"/>
              <w:rPr>
                <w:rFonts w:ascii="Times New Roman" w:hAnsi="Times New Roman" w:cs="Times New Roman"/>
                <w:sz w:val="20"/>
                <w:szCs w:val="20"/>
              </w:rPr>
            </w:pPr>
            <w:r>
              <w:rPr>
                <w:rFonts w:cs="Times New Roman" w:ascii="Times New Roman" w:hAnsi="Times New Roman"/>
                <w:sz w:val="20"/>
                <w:szCs w:val="20"/>
              </w:rPr>
              <w:t xml:space="preserve">ООО «Коммунальное хозяйство»Туркменского муниципального района </w:t>
            </w:r>
            <w:r>
              <w:rPr>
                <w:rFonts w:cs="Times New Roman" w:ascii="Times New Roman" w:hAnsi="Times New Roman"/>
                <w:spacing w:val="-2"/>
                <w:sz w:val="20"/>
                <w:szCs w:val="20"/>
              </w:rPr>
              <w:t xml:space="preserve">Ставропольского </w:t>
            </w:r>
            <w:r>
              <w:rPr>
                <w:rFonts w:cs="Times New Roman" w:ascii="Times New Roman" w:hAnsi="Times New Roman"/>
                <w:spacing w:val="-4"/>
                <w:sz w:val="20"/>
                <w:szCs w:val="20"/>
              </w:rPr>
              <w:t>края</w:t>
            </w:r>
          </w:p>
        </w:tc>
      </w:tr>
      <w:tr>
        <w:trPr>
          <w:trHeight w:val="410"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Замена участка тепловых сетей протяженностью 100 м в двухтрубном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9" w:right="118"/>
              <w:jc w:val="center"/>
              <w:rPr>
                <w:rFonts w:ascii="Times New Roman" w:hAnsi="Times New Roman" w:cs="Times New Roman"/>
                <w:spacing w:val="-4"/>
                <w:sz w:val="20"/>
                <w:szCs w:val="20"/>
              </w:rPr>
            </w:pPr>
            <w:r>
              <w:rPr>
                <w:rFonts w:cs="Times New Roman" w:ascii="Times New Roman" w:hAnsi="Times New Roman"/>
                <w:spacing w:val="-4"/>
                <w:sz w:val="20"/>
                <w:szCs w:val="20"/>
              </w:rPr>
              <w:t>618</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 w:left="172" w:right="138"/>
              <w:jc w:val="center"/>
              <w:rPr>
                <w:rFonts w:ascii="Times New Roman" w:hAnsi="Times New Roman" w:cs="Times New Roman"/>
                <w:spacing w:val="-4"/>
                <w:sz w:val="20"/>
                <w:szCs w:val="20"/>
              </w:rPr>
            </w:pPr>
            <w:r>
              <w:rPr>
                <w:rFonts w:cs="Times New Roman" w:ascii="Times New Roman" w:hAnsi="Times New Roman"/>
                <w:sz w:val="20"/>
                <w:szCs w:val="20"/>
              </w:rPr>
              <w:t xml:space="preserve">ООО «Коммунальное хозяйство» Туркменского муниципального района </w:t>
            </w:r>
            <w:r>
              <w:rPr>
                <w:rFonts w:cs="Times New Roman" w:ascii="Times New Roman" w:hAnsi="Times New Roman"/>
                <w:spacing w:val="-2"/>
                <w:sz w:val="20"/>
                <w:szCs w:val="20"/>
              </w:rPr>
              <w:t xml:space="preserve">Ставропольского </w:t>
            </w:r>
            <w:r>
              <w:rPr>
                <w:rFonts w:cs="Times New Roman" w:ascii="Times New Roman" w:hAnsi="Times New Roman"/>
                <w:spacing w:val="-4"/>
                <w:sz w:val="20"/>
                <w:szCs w:val="20"/>
              </w:rPr>
              <w:t>края</w:t>
            </w:r>
          </w:p>
        </w:tc>
      </w:tr>
      <w:tr>
        <w:trPr>
          <w:trHeight w:val="848"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Замена участка тепловых сетей протяженностью 100 м в двухтрубном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149" w:right="118"/>
              <w:jc w:val="center"/>
              <w:rPr>
                <w:rFonts w:ascii="Times New Roman" w:hAnsi="Times New Roman" w:cs="Times New Roman"/>
                <w:spacing w:val="-4"/>
                <w:sz w:val="20"/>
                <w:szCs w:val="20"/>
              </w:rPr>
            </w:pPr>
            <w:r>
              <w:rPr>
                <w:rFonts w:cs="Times New Roman" w:ascii="Times New Roman" w:hAnsi="Times New Roman"/>
                <w:spacing w:val="-4"/>
                <w:sz w:val="20"/>
                <w:szCs w:val="20"/>
              </w:rPr>
              <w:t>649</w:t>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 w:left="172" w:right="138"/>
              <w:jc w:val="center"/>
              <w:rPr>
                <w:rFonts w:ascii="Times New Roman" w:hAnsi="Times New Roman" w:cs="Times New Roman"/>
                <w:spacing w:val="-4"/>
                <w:sz w:val="20"/>
                <w:szCs w:val="20"/>
              </w:rPr>
            </w:pPr>
            <w:r>
              <w:rPr>
                <w:rFonts w:cs="Times New Roman" w:ascii="Times New Roman" w:hAnsi="Times New Roman"/>
                <w:sz w:val="20"/>
                <w:szCs w:val="20"/>
              </w:rPr>
              <w:t xml:space="preserve">ООО «Коммунальное хозяйство» Туркменского муниципального района </w:t>
            </w:r>
            <w:r>
              <w:rPr>
                <w:rFonts w:cs="Times New Roman" w:ascii="Times New Roman" w:hAnsi="Times New Roman"/>
                <w:spacing w:val="-2"/>
                <w:sz w:val="20"/>
                <w:szCs w:val="20"/>
              </w:rPr>
              <w:t xml:space="preserve">Ставропольского </w:t>
            </w:r>
            <w:r>
              <w:rPr>
                <w:rFonts w:cs="Times New Roman" w:ascii="Times New Roman" w:hAnsi="Times New Roman"/>
                <w:spacing w:val="-4"/>
                <w:sz w:val="20"/>
                <w:szCs w:val="20"/>
              </w:rPr>
              <w:t>края</w:t>
            </w:r>
          </w:p>
        </w:tc>
      </w:tr>
      <w:tr>
        <w:trPr>
          <w:trHeight w:val="799" w:hRule="atLeast"/>
        </w:trPr>
        <w:tc>
          <w:tcPr>
            <w:tcW w:w="28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8"/>
              <w:jc w:val="both"/>
              <w:rPr>
                <w:rFonts w:ascii="Times New Roman" w:hAnsi="Times New Roman" w:cs="Times New Roman"/>
                <w:spacing w:val="-2"/>
                <w:sz w:val="20"/>
                <w:szCs w:val="20"/>
              </w:rPr>
            </w:pPr>
            <w:r>
              <w:rPr>
                <w:rFonts w:cs="Times New Roman" w:ascii="Times New Roman" w:hAnsi="Times New Roman"/>
                <w:sz w:val="20"/>
                <w:szCs w:val="20"/>
              </w:rPr>
              <w:t xml:space="preserve">Замена участка тепловых сетей протяженностью 100 м в двухтрубном исполнении в с.Летняя </w:t>
            </w:r>
            <w:r>
              <w:rPr>
                <w:rFonts w:cs="Times New Roman" w:ascii="Times New Roman" w:hAnsi="Times New Roman"/>
                <w:spacing w:val="-2"/>
                <w:sz w:val="20"/>
                <w:szCs w:val="20"/>
              </w:rPr>
              <w:t>Ставка</w:t>
            </w:r>
          </w:p>
        </w:tc>
        <w:tc>
          <w:tcPr>
            <w:tcW w:w="11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149" w:right="118"/>
              <w:jc w:val="center"/>
              <w:rPr>
                <w:rFonts w:ascii="Times New Roman" w:hAnsi="Times New Roman" w:cs="Times New Roman"/>
                <w:spacing w:val="-4"/>
                <w:sz w:val="20"/>
                <w:szCs w:val="20"/>
              </w:rPr>
            </w:pPr>
            <w:r>
              <w:rPr>
                <w:rFonts w:cs="Times New Roman" w:ascii="Times New Roman" w:hAnsi="Times New Roman"/>
                <w:spacing w:val="-4"/>
                <w:sz w:val="20"/>
                <w:szCs w:val="20"/>
              </w:rPr>
              <w:t>682</w:t>
            </w:r>
          </w:p>
        </w:tc>
        <w:tc>
          <w:tcPr>
            <w:tcW w:w="12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3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16" w:left="172" w:right="138"/>
              <w:jc w:val="both"/>
              <w:rPr>
                <w:rFonts w:ascii="Times New Roman" w:hAnsi="Times New Roman" w:cs="Times New Roman"/>
                <w:spacing w:val="-4"/>
                <w:sz w:val="20"/>
                <w:szCs w:val="20"/>
              </w:rPr>
            </w:pPr>
            <w:r>
              <w:rPr>
                <w:rFonts w:cs="Times New Roman" w:ascii="Times New Roman" w:hAnsi="Times New Roman"/>
                <w:sz w:val="20"/>
                <w:szCs w:val="20"/>
              </w:rPr>
              <w:t>ООО «Коммунальное хозяйство» Туркменского муниципального района С</w:t>
            </w:r>
            <w:r>
              <w:rPr>
                <w:rFonts w:cs="Times New Roman" w:ascii="Times New Roman" w:hAnsi="Times New Roman"/>
                <w:spacing w:val="-2"/>
                <w:sz w:val="20"/>
                <w:szCs w:val="20"/>
              </w:rPr>
              <w:t xml:space="preserve">тавропольского </w:t>
            </w:r>
            <w:r>
              <w:rPr>
                <w:rFonts w:cs="Times New Roman" w:ascii="Times New Roman" w:hAnsi="Times New Roman"/>
                <w:spacing w:val="-4"/>
                <w:sz w:val="20"/>
                <w:szCs w:val="20"/>
              </w:rPr>
              <w:t>края</w:t>
            </w:r>
          </w:p>
        </w:tc>
      </w:tr>
    </w:tbl>
    <w:p>
      <w:pPr>
        <w:pStyle w:val="Normal"/>
        <w:spacing w:lineRule="auto" w:line="240" w:before="0" w:after="0"/>
        <w:ind w:firstLine="85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Финансовые потребности для реализации мероприятий в области теплоснабжения предоставленные – обществом с ограниченной ответственностью «Коммунальное хозяйство» Туркменского муниципального района Ставропольского края представлены в таблице 28.</w:t>
      </w:r>
    </w:p>
    <w:p>
      <w:pPr>
        <w:pStyle w:val="Normal"/>
        <w:spacing w:lineRule="auto" w:line="240" w:before="0" w:after="0"/>
        <w:ind w:firstLine="851"/>
        <w:jc w:val="right"/>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Таблица 28.</w:t>
      </w:r>
    </w:p>
    <w:p>
      <w:pPr>
        <w:pStyle w:val="Normal"/>
        <w:spacing w:lineRule="auto" w:line="240" w:before="7" w:after="0"/>
        <w:rPr>
          <w:rFonts w:ascii="Times New Roman" w:hAnsi="Times New Roman" w:cs="Times New Roman"/>
          <w:sz w:val="6"/>
          <w:szCs w:val="6"/>
        </w:rPr>
      </w:pPr>
      <w:r>
        <w:rPr>
          <w:rFonts w:cs="Times New Roman" w:ascii="Times New Roman" w:hAnsi="Times New Roman"/>
          <w:sz w:val="6"/>
          <w:szCs w:val="6"/>
        </w:rPr>
      </w:r>
    </w:p>
    <w:tbl>
      <w:tblPr>
        <w:tblW w:w="5000" w:type="pct"/>
        <w:jc w:val="left"/>
        <w:tblInd w:w="30" w:type="dxa"/>
        <w:tblLayout w:type="fixed"/>
        <w:tblCellMar>
          <w:top w:w="0" w:type="dxa"/>
          <w:left w:w="5" w:type="dxa"/>
          <w:bottom w:w="0" w:type="dxa"/>
          <w:right w:w="5" w:type="dxa"/>
        </w:tblCellMar>
        <w:tblLook w:val="04a0"/>
      </w:tblPr>
      <w:tblGrid>
        <w:gridCol w:w="845"/>
        <w:gridCol w:w="2002"/>
        <w:gridCol w:w="2128"/>
        <w:gridCol w:w="881"/>
        <w:gridCol w:w="884"/>
        <w:gridCol w:w="894"/>
        <w:gridCol w:w="912"/>
        <w:gridCol w:w="949"/>
        <w:gridCol w:w="1571"/>
        <w:gridCol w:w="2126"/>
        <w:gridCol w:w="1517"/>
      </w:tblGrid>
      <w:tr>
        <w:trPr>
          <w:trHeight w:val="333" w:hRule="exact"/>
        </w:trPr>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0"/>
              <w:jc w:val="center"/>
              <w:rPr>
                <w:rFonts w:ascii="Times New Roman" w:hAnsi="Times New Roman" w:cs="Times New Roman"/>
                <w:color w:val="262626"/>
                <w:w w:val="106"/>
                <w:sz w:val="20"/>
                <w:szCs w:val="20"/>
              </w:rPr>
            </w:pPr>
            <w:r>
              <w:rPr>
                <w:rFonts w:cs="Times New Roman" w:ascii="Times New Roman" w:hAnsi="Times New Roman"/>
                <w:color w:val="262626"/>
                <w:w w:val="106"/>
                <w:sz w:val="20"/>
                <w:szCs w:val="20"/>
              </w:rPr>
              <w:t>№</w:t>
            </w:r>
          </w:p>
          <w:p>
            <w:pPr>
              <w:pStyle w:val="Normal"/>
              <w:spacing w:lineRule="auto" w:line="240" w:before="19" w:after="0"/>
              <w:ind w:left="306" w:right="231"/>
              <w:jc w:val="center"/>
              <w:rPr>
                <w:rFonts w:ascii="Times New Roman" w:hAnsi="Times New Roman" w:cs="Times New Roman"/>
                <w:color w:val="262626"/>
                <w:spacing w:val="-4"/>
                <w:w w:val="105"/>
                <w:sz w:val="20"/>
                <w:szCs w:val="20"/>
              </w:rPr>
            </w:pPr>
            <w:r>
              <w:rPr>
                <w:rFonts w:cs="Times New Roman" w:ascii="Times New Roman" w:hAnsi="Times New Roman"/>
                <w:color w:val="262626"/>
                <w:spacing w:val="-4"/>
                <w:w w:val="105"/>
                <w:sz w:val="20"/>
                <w:szCs w:val="20"/>
              </w:rPr>
              <w:t>п/п</w:t>
            </w:r>
          </w:p>
        </w:tc>
        <w:tc>
          <w:tcPr>
            <w:tcW w:w="200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 w:left="1"/>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Наименование мероприятий</w:t>
            </w:r>
          </w:p>
        </w:tc>
        <w:tc>
          <w:tcPr>
            <w:tcW w:w="212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4" w:left="422" w:right="354"/>
              <w:jc w:val="center"/>
              <w:rPr>
                <w:rFonts w:ascii="Times New Roman" w:hAnsi="Times New Roman" w:cs="Times New Roman"/>
                <w:color w:val="3B3B3B"/>
                <w:spacing w:val="-2"/>
                <w:w w:val="105"/>
                <w:sz w:val="20"/>
                <w:szCs w:val="20"/>
              </w:rPr>
            </w:pPr>
            <w:r>
              <w:rPr>
                <w:rFonts w:cs="Times New Roman" w:ascii="Times New Roman" w:hAnsi="Times New Roman"/>
                <w:color w:val="262626"/>
                <w:spacing w:val="-4"/>
                <w:w w:val="105"/>
                <w:sz w:val="20"/>
                <w:szCs w:val="20"/>
              </w:rPr>
              <w:t xml:space="preserve">Объем </w:t>
            </w:r>
            <w:r>
              <w:rPr>
                <w:rFonts w:cs="Times New Roman" w:ascii="Times New Roman" w:hAnsi="Times New Roman"/>
                <w:color w:val="262626"/>
                <w:spacing w:val="-2"/>
                <w:sz w:val="20"/>
                <w:szCs w:val="20"/>
              </w:rPr>
              <w:t xml:space="preserve">капитальных </w:t>
            </w:r>
            <w:r>
              <w:rPr>
                <w:rFonts w:cs="Times New Roman" w:ascii="Times New Roman" w:hAnsi="Times New Roman"/>
                <w:color w:val="3B3B3B"/>
                <w:spacing w:val="-2"/>
                <w:w w:val="105"/>
                <w:sz w:val="20"/>
                <w:szCs w:val="20"/>
              </w:rPr>
              <w:t>вложений</w:t>
            </w:r>
          </w:p>
        </w:tc>
        <w:tc>
          <w:tcPr>
            <w:tcW w:w="6091"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8"/>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 xml:space="preserve">Финансовые потребности </w:t>
            </w:r>
            <w:r>
              <w:rPr>
                <w:rFonts w:cs="Times New Roman" w:ascii="Times New Roman" w:hAnsi="Times New Roman"/>
                <w:color w:val="3B3B3B"/>
                <w:w w:val="105"/>
                <w:sz w:val="20"/>
                <w:szCs w:val="20"/>
              </w:rPr>
              <w:t xml:space="preserve">для </w:t>
            </w:r>
            <w:r>
              <w:rPr>
                <w:rFonts w:cs="Times New Roman" w:ascii="Times New Roman" w:hAnsi="Times New Roman"/>
                <w:color w:val="262626"/>
                <w:w w:val="105"/>
                <w:sz w:val="20"/>
                <w:szCs w:val="20"/>
              </w:rPr>
              <w:t>реализации мероприятий</w:t>
            </w:r>
          </w:p>
        </w:tc>
        <w:tc>
          <w:tcPr>
            <w:tcW w:w="364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79"/>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Источники финансирования</w:t>
            </w:r>
          </w:p>
        </w:tc>
      </w:tr>
      <w:tr>
        <w:trPr>
          <w:trHeight w:val="422"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58"/>
              <w:jc w:val="center"/>
              <w:rPr>
                <w:rFonts w:ascii="Times New Roman" w:hAnsi="Times New Roman" w:cs="Times New Roman"/>
                <w:color w:val="262626"/>
                <w:spacing w:val="-4"/>
                <w:w w:val="95"/>
                <w:sz w:val="20"/>
                <w:szCs w:val="20"/>
              </w:rPr>
            </w:pPr>
            <w:r>
              <w:rPr>
                <w:rFonts w:cs="Times New Roman" w:ascii="Times New Roman" w:hAnsi="Times New Roman"/>
                <w:color w:val="262626"/>
                <w:spacing w:val="-4"/>
                <w:w w:val="95"/>
                <w:sz w:val="20"/>
                <w:szCs w:val="20"/>
              </w:rPr>
              <w:t>2021</w:t>
            </w:r>
          </w:p>
        </w:tc>
        <w:tc>
          <w:tcPr>
            <w:tcW w:w="8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55"/>
              <w:jc w:val="center"/>
              <w:rPr>
                <w:rFonts w:ascii="Times New Roman" w:hAnsi="Times New Roman" w:cs="Times New Roman"/>
                <w:color w:val="262626"/>
                <w:spacing w:val="-4"/>
                <w:sz w:val="20"/>
                <w:szCs w:val="20"/>
              </w:rPr>
            </w:pPr>
            <w:r>
              <w:rPr>
                <w:rFonts w:cs="Times New Roman" w:ascii="Times New Roman" w:hAnsi="Times New Roman"/>
                <w:color w:val="262626"/>
                <w:spacing w:val="-4"/>
                <w:sz w:val="20"/>
                <w:szCs w:val="20"/>
              </w:rPr>
              <w:t>2022</w:t>
            </w:r>
          </w:p>
        </w:tc>
        <w:tc>
          <w:tcPr>
            <w:tcW w:w="8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73"/>
              <w:jc w:val="center"/>
              <w:rPr>
                <w:rFonts w:ascii="Times New Roman" w:hAnsi="Times New Roman" w:cs="Times New Roman"/>
                <w:color w:val="262626"/>
                <w:spacing w:val="-4"/>
                <w:w w:val="95"/>
                <w:sz w:val="20"/>
                <w:szCs w:val="20"/>
              </w:rPr>
            </w:pPr>
            <w:r>
              <w:rPr>
                <w:rFonts w:cs="Times New Roman" w:ascii="Times New Roman" w:hAnsi="Times New Roman"/>
                <w:color w:val="262626"/>
                <w:spacing w:val="-4"/>
                <w:w w:val="95"/>
                <w:sz w:val="20"/>
                <w:szCs w:val="20"/>
              </w:rPr>
              <w:t>2023</w:t>
            </w:r>
          </w:p>
        </w:tc>
        <w:tc>
          <w:tcPr>
            <w:tcW w:w="9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82" w:right="94"/>
              <w:jc w:val="center"/>
              <w:rPr>
                <w:rFonts w:ascii="Times New Roman" w:hAnsi="Times New Roman" w:cs="Times New Roman"/>
                <w:color w:val="262626"/>
                <w:spacing w:val="-4"/>
                <w:sz w:val="20"/>
                <w:szCs w:val="20"/>
              </w:rPr>
            </w:pPr>
            <w:r>
              <w:rPr>
                <w:rFonts w:cs="Times New Roman" w:ascii="Times New Roman" w:hAnsi="Times New Roman"/>
                <w:color w:val="262626"/>
                <w:spacing w:val="-4"/>
                <w:sz w:val="20"/>
                <w:szCs w:val="20"/>
              </w:rPr>
              <w:t>2024</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00" w:right="110"/>
              <w:jc w:val="center"/>
              <w:rPr>
                <w:rFonts w:ascii="Times New Roman" w:hAnsi="Times New Roman" w:cs="Times New Roman"/>
                <w:color w:val="262626"/>
                <w:spacing w:val="-4"/>
                <w:w w:val="95"/>
                <w:sz w:val="20"/>
                <w:szCs w:val="20"/>
              </w:rPr>
            </w:pPr>
            <w:r>
              <w:rPr>
                <w:rFonts w:cs="Times New Roman" w:ascii="Times New Roman" w:hAnsi="Times New Roman"/>
                <w:color w:val="262626"/>
                <w:spacing w:val="-4"/>
                <w:w w:val="95"/>
                <w:sz w:val="20"/>
                <w:szCs w:val="20"/>
              </w:rPr>
              <w:t>2025</w:t>
            </w:r>
          </w:p>
        </w:tc>
        <w:tc>
          <w:tcPr>
            <w:tcW w:w="15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color w:val="262626"/>
                <w:spacing w:val="-2"/>
                <w:w w:val="90"/>
                <w:sz w:val="20"/>
                <w:szCs w:val="20"/>
              </w:rPr>
            </w:pPr>
            <w:r>
              <w:rPr>
                <w:rFonts w:cs="Times New Roman" w:ascii="Times New Roman" w:hAnsi="Times New Roman"/>
                <w:color w:val="262626"/>
                <w:spacing w:val="-2"/>
                <w:w w:val="90"/>
                <w:sz w:val="20"/>
                <w:szCs w:val="20"/>
              </w:rPr>
              <w:t>2026-2040</w:t>
            </w:r>
          </w:p>
        </w:tc>
        <w:tc>
          <w:tcPr>
            <w:tcW w:w="21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Консолидированный бюджет</w:t>
            </w:r>
          </w:p>
        </w:tc>
        <w:tc>
          <w:tcPr>
            <w:tcW w:w="15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37"/>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4"/>
                <w:w w:val="105"/>
                <w:sz w:val="20"/>
                <w:szCs w:val="20"/>
              </w:rPr>
              <w:t xml:space="preserve">Иные </w:t>
            </w:r>
            <w:r>
              <w:rPr>
                <w:rFonts w:cs="Times New Roman" w:ascii="Times New Roman" w:hAnsi="Times New Roman"/>
                <w:color w:val="262626"/>
                <w:spacing w:val="-2"/>
                <w:w w:val="105"/>
                <w:sz w:val="20"/>
                <w:szCs w:val="20"/>
              </w:rPr>
              <w:t>источники</w:t>
            </w:r>
          </w:p>
        </w:tc>
      </w:tr>
      <w:tr>
        <w:trPr>
          <w:trHeight w:val="302" w:hRule="exact"/>
        </w:trPr>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8"/>
              <w:jc w:val="center"/>
              <w:rPr>
                <w:rFonts w:ascii="Times New Roman" w:hAnsi="Times New Roman" w:cs="Times New Roman"/>
                <w:color w:val="3B3B3B"/>
                <w:w w:val="88"/>
                <w:sz w:val="20"/>
                <w:szCs w:val="20"/>
              </w:rPr>
            </w:pPr>
            <w:r>
              <w:rPr>
                <w:rFonts w:cs="Times New Roman" w:ascii="Times New Roman" w:hAnsi="Times New Roman"/>
                <w:color w:val="3B3B3B"/>
                <w:w w:val="88"/>
                <w:sz w:val="20"/>
                <w:szCs w:val="20"/>
              </w:rPr>
              <w:t>1</w:t>
            </w:r>
          </w:p>
        </w:tc>
        <w:tc>
          <w:tcPr>
            <w:tcW w:w="20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3B3B3B"/>
                <w:w w:val="105"/>
                <w:sz w:val="20"/>
                <w:szCs w:val="20"/>
              </w:rPr>
            </w:pPr>
            <w:r>
              <w:rPr>
                <w:rFonts w:cs="Times New Roman" w:ascii="Times New Roman" w:hAnsi="Times New Roman"/>
                <w:color w:val="262626"/>
                <w:w w:val="105"/>
                <w:sz w:val="20"/>
                <w:szCs w:val="20"/>
              </w:rPr>
              <w:t xml:space="preserve">Ремонт </w:t>
            </w:r>
            <w:r>
              <w:rPr>
                <w:rFonts w:cs="Times New Roman" w:ascii="Times New Roman" w:hAnsi="Times New Roman"/>
                <w:color w:val="3B3B3B"/>
                <w:w w:val="105"/>
                <w:sz w:val="20"/>
                <w:szCs w:val="20"/>
              </w:rPr>
              <w:t>теплотрассы</w:t>
            </w:r>
          </w:p>
        </w:tc>
        <w:tc>
          <w:tcPr>
            <w:tcW w:w="21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17"/>
              <w:jc w:val="center"/>
              <w:rPr>
                <w:rFonts w:ascii="Times New Roman" w:hAnsi="Times New Roman" w:cs="Times New Roman"/>
                <w:color w:val="909090"/>
                <w:w w:val="105"/>
                <w:sz w:val="20"/>
                <w:szCs w:val="20"/>
              </w:rPr>
            </w:pPr>
            <w:r>
              <w:rPr>
                <w:rFonts w:cs="Times New Roman" w:ascii="Times New Roman" w:hAnsi="Times New Roman"/>
                <w:color w:val="3B3B3B"/>
                <w:w w:val="105"/>
                <w:sz w:val="20"/>
                <w:szCs w:val="20"/>
              </w:rPr>
              <w:t xml:space="preserve">Всего </w:t>
            </w:r>
            <w:r>
              <w:rPr>
                <w:rFonts w:cs="Times New Roman" w:ascii="Times New Roman" w:hAnsi="Times New Roman"/>
                <w:color w:val="262626"/>
                <w:w w:val="105"/>
                <w:sz w:val="20"/>
                <w:szCs w:val="20"/>
              </w:rPr>
              <w:t xml:space="preserve">средств с </w:t>
            </w:r>
            <w:r>
              <w:rPr>
                <w:rFonts w:cs="Times New Roman" w:ascii="Times New Roman" w:hAnsi="Times New Roman"/>
                <w:color w:val="3B3B3B"/>
                <w:w w:val="105"/>
                <w:sz w:val="20"/>
                <w:szCs w:val="20"/>
              </w:rPr>
              <w:t xml:space="preserve">2021 </w:t>
            </w:r>
            <w:r>
              <w:rPr>
                <w:rFonts w:cs="Times New Roman" w:ascii="Times New Roman" w:hAnsi="Times New Roman"/>
                <w:color w:val="262626"/>
                <w:w w:val="105"/>
                <w:sz w:val="20"/>
                <w:szCs w:val="20"/>
              </w:rPr>
              <w:t>по 2025</w:t>
            </w:r>
            <w:r>
              <w:rPr>
                <w:rFonts w:cs="Times New Roman" w:ascii="Times New Roman" w:hAnsi="Times New Roman"/>
                <w:color w:val="000000"/>
                <w:w w:val="105"/>
                <w:sz w:val="20"/>
                <w:szCs w:val="20"/>
              </w:rPr>
              <w:t>:</w:t>
            </w:r>
            <w:r>
              <w:rPr>
                <w:rFonts w:cs="Times New Roman" w:ascii="Times New Roman" w:hAnsi="Times New Roman"/>
                <w:color w:val="909090"/>
                <w:w w:val="105"/>
                <w:sz w:val="20"/>
                <w:szCs w:val="20"/>
              </w:rPr>
              <w:t>'</w:t>
            </w:r>
          </w:p>
          <w:p>
            <w:pPr>
              <w:pStyle w:val="Normal"/>
              <w:spacing w:lineRule="auto" w:line="240" w:before="0" w:after="0"/>
              <w:ind w:left="117"/>
              <w:jc w:val="center"/>
              <w:rPr>
                <w:rFonts w:ascii="Times New Roman" w:hAnsi="Times New Roman" w:cs="Times New Roman"/>
                <w:color w:val="262626"/>
                <w:w w:val="105"/>
                <w:sz w:val="20"/>
                <w:szCs w:val="20"/>
              </w:rPr>
            </w:pPr>
            <w:r>
              <w:rPr>
                <w:rFonts w:cs="Times New Roman" w:ascii="Times New Roman" w:hAnsi="Times New Roman"/>
                <w:color w:val="3B3B3B"/>
                <w:w w:val="105"/>
                <w:sz w:val="20"/>
                <w:szCs w:val="20"/>
              </w:rPr>
              <w:t xml:space="preserve">4 099 000 </w:t>
            </w:r>
            <w:r>
              <w:rPr>
                <w:rFonts w:cs="Times New Roman" w:ascii="Times New Roman" w:hAnsi="Times New Roman"/>
                <w:color w:val="262626"/>
                <w:w w:val="105"/>
                <w:sz w:val="20"/>
                <w:szCs w:val="20"/>
              </w:rPr>
              <w:t>руб.</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86"/>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248,00</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9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1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82" w:right="9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706,00</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201" w:right="110"/>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962,00</w:t>
            </w:r>
          </w:p>
        </w:tc>
        <w:tc>
          <w:tcPr>
            <w:tcW w:w="157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9"/>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Бюджет на 5лет 5 000 000, 00 руб.</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56" w:after="0"/>
              <w:ind w:left="79"/>
              <w:jc w:val="center"/>
              <w:rPr>
                <w:rFonts w:ascii="Times New Roman" w:hAnsi="Times New Roman" w:cs="Times New Roman"/>
                <w:color w:val="262626"/>
                <w:w w:val="104"/>
                <w:sz w:val="20"/>
                <w:szCs w:val="20"/>
              </w:rPr>
            </w:pPr>
            <w:r>
              <w:rPr>
                <w:rFonts w:cs="Times New Roman" w:ascii="Times New Roman" w:hAnsi="Times New Roman"/>
                <w:color w:val="262626"/>
                <w:w w:val="104"/>
                <w:sz w:val="20"/>
                <w:szCs w:val="20"/>
              </w:rPr>
              <w:t>-</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8" w:after="0"/>
              <w:ind w:hanging="8" w:left="151"/>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 средства</w:t>
            </w:r>
          </w:p>
        </w:tc>
      </w:tr>
      <w:tr>
        <w:trPr>
          <w:trHeight w:val="165" w:hRule="exact"/>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 w:after="0"/>
              <w:ind w:left="61"/>
              <w:jc w:val="center"/>
              <w:rPr>
                <w:rFonts w:ascii="Times New Roman" w:hAnsi="Times New Roman" w:cs="Times New Roman"/>
                <w:color w:val="262626"/>
                <w:w w:val="110"/>
                <w:sz w:val="20"/>
                <w:szCs w:val="20"/>
              </w:rPr>
            </w:pPr>
            <w:r>
              <w:rPr>
                <w:rFonts w:cs="Times New Roman" w:ascii="Times New Roman" w:hAnsi="Times New Roman"/>
                <w:color w:val="262626"/>
                <w:w w:val="110"/>
                <w:sz w:val="20"/>
                <w:szCs w:val="20"/>
              </w:rPr>
              <w:t>2</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18"/>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Замена счетчиков</w:t>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77"/>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126,00</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78"/>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664,00</w:t>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201"/>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445,00</w:t>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r>
      <w:tr>
        <w:trPr>
          <w:trHeight w:val="360"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89" w:after="0"/>
              <w:ind w:left="79"/>
              <w:jc w:val="center"/>
              <w:rPr>
                <w:rFonts w:ascii="Times New Roman" w:hAnsi="Times New Roman" w:cs="Times New Roman"/>
                <w:color w:val="262626"/>
                <w:w w:val="104"/>
                <w:sz w:val="20"/>
                <w:szCs w:val="20"/>
              </w:rPr>
            </w:pPr>
            <w:r>
              <w:rPr>
                <w:rFonts w:cs="Times New Roman" w:ascii="Times New Roman" w:hAnsi="Times New Roman"/>
                <w:color w:val="262626"/>
                <w:w w:val="104"/>
                <w:sz w:val="20"/>
                <w:szCs w:val="20"/>
              </w:rPr>
              <w:t>-</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3"/>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w:t>
            </w:r>
          </w:p>
          <w:p>
            <w:pPr>
              <w:pStyle w:val="Normal"/>
              <w:spacing w:lineRule="auto" w:line="240" w:before="32" w:after="0"/>
              <w:ind w:left="14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средства</w:t>
            </w:r>
          </w:p>
        </w:tc>
      </w:tr>
      <w:tr>
        <w:trPr>
          <w:trHeight w:val="180" w:hRule="exact"/>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6"/>
              <w:jc w:val="center"/>
              <w:rPr>
                <w:rFonts w:ascii="Times New Roman" w:hAnsi="Times New Roman" w:cs="Times New Roman"/>
                <w:color w:val="262626"/>
                <w:w w:val="106"/>
                <w:sz w:val="20"/>
                <w:szCs w:val="20"/>
              </w:rPr>
            </w:pPr>
            <w:r>
              <w:rPr>
                <w:rFonts w:cs="Times New Roman" w:ascii="Times New Roman" w:hAnsi="Times New Roman"/>
                <w:color w:val="262626"/>
                <w:w w:val="106"/>
                <w:sz w:val="20"/>
                <w:szCs w:val="20"/>
              </w:rPr>
              <w:t>3</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18"/>
              <w:jc w:val="center"/>
              <w:rPr>
                <w:rFonts w:ascii="Times New Roman" w:hAnsi="Times New Roman" w:cs="Times New Roman"/>
                <w:color w:val="3B3B3B"/>
                <w:w w:val="105"/>
                <w:sz w:val="20"/>
                <w:szCs w:val="20"/>
              </w:rPr>
            </w:pPr>
            <w:r>
              <w:rPr>
                <w:rFonts w:cs="Times New Roman" w:ascii="Times New Roman" w:hAnsi="Times New Roman"/>
                <w:color w:val="262626"/>
                <w:w w:val="105"/>
                <w:sz w:val="20"/>
                <w:szCs w:val="20"/>
              </w:rPr>
              <w:t xml:space="preserve">Замена </w:t>
            </w:r>
            <w:r>
              <w:rPr>
                <w:rFonts w:cs="Times New Roman" w:ascii="Times New Roman" w:hAnsi="Times New Roman"/>
                <w:color w:val="3B3B3B"/>
                <w:w w:val="105"/>
                <w:sz w:val="20"/>
                <w:szCs w:val="20"/>
              </w:rPr>
              <w:t>автоматики</w:t>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77"/>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175,00</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r>
      <w:tr>
        <w:trPr>
          <w:trHeight w:val="360"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4" w:after="0"/>
              <w:ind w:left="95"/>
              <w:jc w:val="center"/>
              <w:rPr>
                <w:rFonts w:ascii="Times New Roman" w:hAnsi="Times New Roman" w:cs="Times New Roman"/>
                <w:color w:val="3B3B3B"/>
                <w:w w:val="104"/>
                <w:sz w:val="20"/>
                <w:szCs w:val="20"/>
              </w:rPr>
            </w:pPr>
            <w:r>
              <w:rPr>
                <w:rFonts w:cs="Times New Roman" w:ascii="Times New Roman" w:hAnsi="Times New Roman"/>
                <w:color w:val="3B3B3B"/>
                <w:w w:val="104"/>
                <w:sz w:val="20"/>
                <w:szCs w:val="20"/>
              </w:rPr>
              <w:t>-</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3"/>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w:t>
            </w:r>
          </w:p>
          <w:p>
            <w:pPr>
              <w:pStyle w:val="Normal"/>
              <w:spacing w:lineRule="auto" w:line="240" w:before="32" w:after="0"/>
              <w:ind w:left="14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средства</w:t>
            </w:r>
          </w:p>
        </w:tc>
      </w:tr>
      <w:tr>
        <w:trPr>
          <w:trHeight w:val="180" w:hRule="exact"/>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 w:after="0"/>
              <w:ind w:left="42"/>
              <w:jc w:val="center"/>
              <w:rPr>
                <w:rFonts w:ascii="Times New Roman" w:hAnsi="Times New Roman" w:cs="Times New Roman"/>
                <w:color w:val="262626"/>
                <w:w w:val="106"/>
                <w:sz w:val="20"/>
                <w:szCs w:val="20"/>
              </w:rPr>
            </w:pPr>
            <w:r>
              <w:rPr>
                <w:rFonts w:cs="Times New Roman" w:ascii="Times New Roman" w:hAnsi="Times New Roman"/>
                <w:color w:val="262626"/>
                <w:w w:val="106"/>
                <w:sz w:val="20"/>
                <w:szCs w:val="20"/>
              </w:rPr>
              <w:t>4</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18"/>
              <w:jc w:val="center"/>
              <w:rPr>
                <w:rFonts w:ascii="Times New Roman" w:hAnsi="Times New Roman" w:cs="Times New Roman"/>
                <w:color w:val="262626"/>
                <w:w w:val="105"/>
                <w:sz w:val="20"/>
                <w:szCs w:val="20"/>
              </w:rPr>
            </w:pPr>
            <w:r>
              <w:rPr>
                <w:rFonts w:cs="Times New Roman" w:ascii="Times New Roman" w:hAnsi="Times New Roman"/>
                <w:color w:val="3B3B3B"/>
                <w:w w:val="105"/>
                <w:sz w:val="20"/>
                <w:szCs w:val="20"/>
              </w:rPr>
              <w:t xml:space="preserve">Замена </w:t>
            </w:r>
            <w:r>
              <w:rPr>
                <w:rFonts w:cs="Times New Roman" w:ascii="Times New Roman" w:hAnsi="Times New Roman"/>
                <w:color w:val="262626"/>
                <w:w w:val="105"/>
                <w:sz w:val="20"/>
                <w:szCs w:val="20"/>
              </w:rPr>
              <w:t>сигнализаторов</w:t>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262626"/>
                <w:spacing w:val="-4"/>
                <w:w w:val="105"/>
                <w:sz w:val="20"/>
                <w:szCs w:val="20"/>
              </w:rPr>
            </w:pPr>
            <w:r>
              <w:rPr>
                <w:rFonts w:cs="Times New Roman" w:ascii="Times New Roman" w:hAnsi="Times New Roman"/>
                <w:color w:val="262626"/>
                <w:spacing w:val="-4"/>
                <w:w w:val="105"/>
                <w:sz w:val="20"/>
                <w:szCs w:val="20"/>
              </w:rPr>
              <w:t>98,00</w:t>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r>
      <w:tr>
        <w:trPr>
          <w:trHeight w:val="367"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03" w:after="0"/>
              <w:ind w:left="79"/>
              <w:jc w:val="center"/>
              <w:rPr>
                <w:rFonts w:ascii="Times New Roman" w:hAnsi="Times New Roman" w:cs="Times New Roman"/>
                <w:color w:val="262626"/>
                <w:w w:val="104"/>
                <w:sz w:val="20"/>
                <w:szCs w:val="20"/>
              </w:rPr>
            </w:pPr>
            <w:r>
              <w:rPr>
                <w:rFonts w:cs="Times New Roman" w:ascii="Times New Roman" w:hAnsi="Times New Roman"/>
                <w:color w:val="262626"/>
                <w:w w:val="104"/>
                <w:sz w:val="20"/>
                <w:szCs w:val="20"/>
              </w:rPr>
              <w:t>-</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3"/>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w:t>
            </w:r>
          </w:p>
          <w:p>
            <w:pPr>
              <w:pStyle w:val="Normal"/>
              <w:spacing w:lineRule="auto" w:line="240" w:before="32" w:after="0"/>
              <w:ind w:left="14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средства</w:t>
            </w:r>
          </w:p>
        </w:tc>
      </w:tr>
      <w:tr>
        <w:trPr>
          <w:trHeight w:val="209" w:hRule="exact"/>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 w:after="0"/>
              <w:ind w:left="57"/>
              <w:jc w:val="center"/>
              <w:rPr>
                <w:rFonts w:ascii="Times New Roman" w:hAnsi="Times New Roman" w:cs="Times New Roman"/>
                <w:color w:val="262626"/>
                <w:w w:val="103"/>
                <w:sz w:val="20"/>
                <w:szCs w:val="20"/>
              </w:rPr>
            </w:pPr>
            <w:r>
              <w:rPr>
                <w:rFonts w:cs="Times New Roman" w:ascii="Times New Roman" w:hAnsi="Times New Roman"/>
                <w:color w:val="262626"/>
                <w:w w:val="103"/>
                <w:sz w:val="20"/>
                <w:szCs w:val="20"/>
              </w:rPr>
              <w:t>5</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18"/>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Замена котлов</w:t>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601,00</w:t>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r>
      <w:tr>
        <w:trPr>
          <w:trHeight w:val="331"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74" w:after="0"/>
              <w:ind w:left="79"/>
              <w:jc w:val="center"/>
              <w:rPr>
                <w:rFonts w:ascii="Times New Roman" w:hAnsi="Times New Roman" w:cs="Times New Roman"/>
                <w:color w:val="262626"/>
                <w:w w:val="104"/>
                <w:sz w:val="20"/>
                <w:szCs w:val="20"/>
              </w:rPr>
            </w:pPr>
            <w:r>
              <w:rPr>
                <w:rFonts w:cs="Times New Roman" w:ascii="Times New Roman" w:hAnsi="Times New Roman"/>
                <w:color w:val="262626"/>
                <w:w w:val="104"/>
                <w:sz w:val="20"/>
                <w:szCs w:val="20"/>
              </w:rPr>
              <w:t>-</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3"/>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w:t>
            </w:r>
          </w:p>
          <w:p>
            <w:pPr>
              <w:pStyle w:val="Normal"/>
              <w:spacing w:lineRule="auto" w:line="240" w:before="32" w:after="0"/>
              <w:ind w:left="14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средства</w:t>
            </w:r>
          </w:p>
        </w:tc>
      </w:tr>
      <w:tr>
        <w:trPr>
          <w:trHeight w:val="165" w:hRule="exact"/>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2"/>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6</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 w:after="0"/>
              <w:ind w:left="118"/>
              <w:jc w:val="center"/>
              <w:rPr>
                <w:rFonts w:ascii="Times New Roman" w:hAnsi="Times New Roman" w:cs="Times New Roman"/>
                <w:color w:val="262626"/>
                <w:w w:val="105"/>
                <w:sz w:val="20"/>
                <w:szCs w:val="20"/>
              </w:rPr>
            </w:pPr>
            <w:r>
              <w:rPr>
                <w:rFonts w:cs="Times New Roman" w:ascii="Times New Roman" w:hAnsi="Times New Roman"/>
                <w:color w:val="262626"/>
                <w:w w:val="105"/>
                <w:sz w:val="20"/>
                <w:szCs w:val="20"/>
              </w:rPr>
              <w:t>Замена блока коррекции</w:t>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 w:after="0"/>
              <w:ind w:left="230"/>
              <w:jc w:val="center"/>
              <w:rPr>
                <w:rFonts w:ascii="Times New Roman" w:hAnsi="Times New Roman" w:cs="Times New Roman"/>
                <w:color w:val="262626"/>
                <w:spacing w:val="-4"/>
                <w:w w:val="105"/>
                <w:sz w:val="20"/>
                <w:szCs w:val="20"/>
              </w:rPr>
            </w:pPr>
            <w:r>
              <w:rPr>
                <w:rFonts w:cs="Times New Roman" w:ascii="Times New Roman" w:hAnsi="Times New Roman"/>
                <w:color w:val="262626"/>
                <w:spacing w:val="-4"/>
                <w:w w:val="105"/>
                <w:sz w:val="20"/>
                <w:szCs w:val="20"/>
              </w:rPr>
              <w:t>74,00</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r>
      <w:tr>
        <w:trPr>
          <w:trHeight w:val="457" w:hRule="exact"/>
        </w:trPr>
        <w:tc>
          <w:tcPr>
            <w:tcW w:w="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00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8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9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1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20" w:after="0"/>
              <w:ind w:left="89"/>
              <w:jc w:val="center"/>
              <w:rPr>
                <w:rFonts w:ascii="Times New Roman" w:hAnsi="Times New Roman" w:cs="Times New Roman"/>
                <w:color w:val="262626"/>
                <w:w w:val="104"/>
                <w:sz w:val="20"/>
                <w:szCs w:val="20"/>
              </w:rPr>
            </w:pPr>
            <w:r>
              <w:rPr>
                <w:rFonts w:cs="Times New Roman" w:ascii="Times New Roman" w:hAnsi="Times New Roman"/>
                <w:color w:val="262626"/>
                <w:w w:val="104"/>
                <w:sz w:val="20"/>
                <w:szCs w:val="20"/>
              </w:rPr>
              <w:t>-</w:t>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3"/>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Собственные</w:t>
            </w:r>
          </w:p>
          <w:p>
            <w:pPr>
              <w:pStyle w:val="Normal"/>
              <w:spacing w:lineRule="auto" w:line="240" w:before="32" w:after="0"/>
              <w:ind w:left="144"/>
              <w:jc w:val="center"/>
              <w:rPr>
                <w:rFonts w:ascii="Times New Roman" w:hAnsi="Times New Roman" w:cs="Times New Roman"/>
                <w:color w:val="262626"/>
                <w:spacing w:val="-2"/>
                <w:w w:val="105"/>
                <w:sz w:val="20"/>
                <w:szCs w:val="20"/>
              </w:rPr>
            </w:pPr>
            <w:r>
              <w:rPr>
                <w:rFonts w:cs="Times New Roman" w:ascii="Times New Roman" w:hAnsi="Times New Roman"/>
                <w:color w:val="262626"/>
                <w:spacing w:val="-2"/>
                <w:w w:val="105"/>
                <w:sz w:val="20"/>
                <w:szCs w:val="20"/>
              </w:rPr>
              <w:t>средства</w:t>
            </w:r>
          </w:p>
        </w:tc>
      </w:tr>
    </w:tbl>
    <w:p>
      <w:pPr>
        <w:pStyle w:val="Normal"/>
        <w:spacing w:lineRule="auto" w:line="240" w:before="0" w:after="0"/>
        <w:ind w:firstLine="85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Мероприятия в системе водоснабжения тыс. руб., на территории Туркменского муниципального округа Ставропольского края Общество с ограниченной ответственностью «Коммунальное хозяйство» Туркменского муниципального района Ставропольского края.</w:t>
      </w:r>
    </w:p>
    <w:p>
      <w:pPr>
        <w:pStyle w:val="Normal"/>
        <w:spacing w:lineRule="auto" w:line="240" w:before="0" w:after="0"/>
        <w:ind w:firstLine="851"/>
        <w:jc w:val="right"/>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Таблица 29.</w:t>
      </w:r>
    </w:p>
    <w:p>
      <w:pPr>
        <w:pStyle w:val="Normal"/>
        <w:spacing w:lineRule="auto" w:line="240" w:before="7" w:after="0"/>
        <w:rPr>
          <w:rFonts w:ascii="Times New Roman" w:hAnsi="Times New Roman" w:cs="Times New Roman"/>
          <w:sz w:val="2"/>
          <w:szCs w:val="3"/>
        </w:rPr>
      </w:pPr>
      <w:r>
        <w:rPr>
          <w:rFonts w:cs="Times New Roman" w:ascii="Times New Roman" w:hAnsi="Times New Roman"/>
          <w:sz w:val="2"/>
          <w:szCs w:val="3"/>
        </w:rPr>
      </w:r>
    </w:p>
    <w:p>
      <w:pPr>
        <w:pStyle w:val="Normal"/>
        <w:spacing w:lineRule="auto" w:line="240"/>
        <w:jc w:val="center"/>
        <w:rPr>
          <w:rFonts w:ascii="Times New Roman" w:hAnsi="Times New Roman" w:cs="Times New Roman"/>
          <w:sz w:val="24"/>
          <w:szCs w:val="28"/>
        </w:rPr>
      </w:pPr>
      <w:r>
        <w:rPr>
          <w:rFonts w:cs="Times New Roman" w:ascii="Times New Roman" w:hAnsi="Times New Roman"/>
          <w:sz w:val="24"/>
          <w:szCs w:val="28"/>
        </w:rPr>
        <w:t>Мероприятия в системе водоснабжения тыс. руб., на территории Туркменского муниципального округа Ставропольского края филиал ГУП СК «Ставрополькрайводоканал»-«Северный» ПТП Ипатовское.</w:t>
      </w:r>
    </w:p>
    <w:tbl>
      <w:tblPr>
        <w:tblW w:w="14695" w:type="dxa"/>
        <w:jc w:val="left"/>
        <w:tblInd w:w="148" w:type="dxa"/>
        <w:tblLayout w:type="fixed"/>
        <w:tblCellMar>
          <w:top w:w="0" w:type="dxa"/>
          <w:left w:w="5" w:type="dxa"/>
          <w:bottom w:w="0" w:type="dxa"/>
          <w:right w:w="5" w:type="dxa"/>
        </w:tblCellMar>
        <w:tblLook w:val="04a0"/>
      </w:tblPr>
      <w:tblGrid>
        <w:gridCol w:w="596"/>
        <w:gridCol w:w="3690"/>
        <w:gridCol w:w="2038"/>
        <w:gridCol w:w="1986"/>
        <w:gridCol w:w="978"/>
        <w:gridCol w:w="1343"/>
        <w:gridCol w:w="1224"/>
        <w:gridCol w:w="2838"/>
      </w:tblGrid>
      <w:tr>
        <w:trPr>
          <w:trHeight w:val="340"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8"/>
              <w:jc w:val="center"/>
              <w:rPr>
                <w:rFonts w:ascii="Times New Roman" w:hAnsi="Times New Roman" w:cs="Times New Roman"/>
                <w:color w:val="131313"/>
                <w:w w:val="109"/>
                <w:sz w:val="20"/>
                <w:szCs w:val="20"/>
              </w:rPr>
            </w:pPr>
            <w:r>
              <w:rPr>
                <w:rFonts w:cs="Times New Roman" w:ascii="Times New Roman" w:hAnsi="Times New Roman"/>
                <w:color w:val="131313"/>
                <w:w w:val="109"/>
                <w:sz w:val="20"/>
                <w:szCs w:val="20"/>
              </w:rPr>
              <w:t>№</w:t>
            </w:r>
          </w:p>
          <w:p>
            <w:pPr>
              <w:pStyle w:val="Normal"/>
              <w:spacing w:lineRule="auto" w:line="240" w:before="0" w:after="0"/>
              <w:ind w:left="18"/>
              <w:jc w:val="center"/>
              <w:rPr>
                <w:rFonts w:ascii="Times New Roman" w:hAnsi="Times New Roman" w:cs="Times New Roman"/>
                <w:color w:val="131313"/>
                <w:w w:val="109"/>
                <w:sz w:val="20"/>
                <w:szCs w:val="20"/>
              </w:rPr>
            </w:pPr>
            <w:r>
              <w:rPr>
                <w:rFonts w:cs="Times New Roman" w:ascii="Times New Roman" w:hAnsi="Times New Roman"/>
                <w:color w:val="131313"/>
                <w:spacing w:val="-4"/>
                <w:sz w:val="20"/>
                <w:szCs w:val="20"/>
              </w:rPr>
              <w:t>п/п</w:t>
            </w:r>
          </w:p>
        </w:tc>
        <w:tc>
          <w:tcPr>
            <w:tcW w:w="369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6"/>
              <w:jc w:val="center"/>
              <w:rPr>
                <w:rFonts w:ascii="Times New Roman" w:hAnsi="Times New Roman" w:cs="Times New Roman"/>
                <w:color w:val="131313"/>
                <w:w w:val="105"/>
                <w:sz w:val="20"/>
                <w:szCs w:val="20"/>
              </w:rPr>
            </w:pPr>
            <w:r>
              <w:rPr>
                <w:rFonts w:cs="Times New Roman" w:ascii="Times New Roman" w:hAnsi="Times New Roman"/>
                <w:color w:val="131313"/>
                <w:w w:val="105"/>
                <w:sz w:val="20"/>
                <w:szCs w:val="20"/>
              </w:rPr>
              <w:t>Наименование объекта</w:t>
            </w:r>
          </w:p>
        </w:tc>
        <w:tc>
          <w:tcPr>
            <w:tcW w:w="203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543" w:left="692"/>
              <w:jc w:val="center"/>
              <w:rPr>
                <w:rFonts w:ascii="Times New Roman" w:hAnsi="Times New Roman" w:cs="Times New Roman"/>
                <w:color w:val="131313"/>
                <w:spacing w:val="-2"/>
                <w:w w:val="105"/>
                <w:sz w:val="20"/>
                <w:szCs w:val="20"/>
              </w:rPr>
            </w:pPr>
            <w:r>
              <w:rPr>
                <w:rFonts w:cs="Times New Roman" w:ascii="Times New Roman" w:hAnsi="Times New Roman"/>
                <w:color w:val="131313"/>
                <w:w w:val="105"/>
                <w:sz w:val="20"/>
                <w:szCs w:val="20"/>
              </w:rPr>
              <w:t xml:space="preserve">Объем капитальных </w:t>
            </w:r>
            <w:r>
              <w:rPr>
                <w:rFonts w:cs="Times New Roman" w:ascii="Times New Roman" w:hAnsi="Times New Roman"/>
                <w:color w:val="131313"/>
                <w:spacing w:val="-2"/>
                <w:w w:val="105"/>
                <w:sz w:val="20"/>
                <w:szCs w:val="20"/>
              </w:rPr>
              <w:t>вложений</w:t>
            </w:r>
          </w:p>
        </w:tc>
        <w:tc>
          <w:tcPr>
            <w:tcW w:w="553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380" w:left="2073"/>
              <w:jc w:val="center"/>
              <w:rPr>
                <w:rFonts w:ascii="Times New Roman" w:hAnsi="Times New Roman" w:cs="Times New Roman"/>
                <w:color w:val="131313"/>
                <w:spacing w:val="-2"/>
                <w:w w:val="105"/>
                <w:sz w:val="20"/>
                <w:szCs w:val="20"/>
              </w:rPr>
            </w:pPr>
            <w:r>
              <w:rPr>
                <w:rFonts w:cs="Times New Roman" w:ascii="Times New Roman" w:hAnsi="Times New Roman"/>
                <w:color w:val="131313"/>
                <w:w w:val="105"/>
                <w:sz w:val="20"/>
                <w:szCs w:val="20"/>
              </w:rPr>
              <w:t xml:space="preserve">Финансовые потребности для реализации </w:t>
            </w:r>
            <w:r>
              <w:rPr>
                <w:rFonts w:cs="Times New Roman" w:ascii="Times New Roman" w:hAnsi="Times New Roman"/>
                <w:color w:val="131313"/>
                <w:spacing w:val="-2"/>
                <w:w w:val="105"/>
                <w:sz w:val="20"/>
                <w:szCs w:val="20"/>
              </w:rPr>
              <w:t>Мероприятий</w:t>
            </w:r>
          </w:p>
        </w:tc>
        <w:tc>
          <w:tcPr>
            <w:tcW w:w="28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93" w:left="589" w:right="125"/>
              <w:jc w:val="both"/>
              <w:rPr>
                <w:rFonts w:ascii="Times New Roman" w:hAnsi="Times New Roman" w:cs="Times New Roman"/>
                <w:color w:val="131313"/>
                <w:w w:val="110"/>
                <w:sz w:val="20"/>
                <w:szCs w:val="20"/>
              </w:rPr>
            </w:pPr>
            <w:r>
              <w:rPr>
                <w:rFonts w:cs="Times New Roman" w:ascii="Times New Roman" w:hAnsi="Times New Roman"/>
                <w:color w:val="131313"/>
                <w:spacing w:val="-2"/>
                <w:w w:val="110"/>
                <w:sz w:val="20"/>
                <w:szCs w:val="20"/>
              </w:rPr>
              <w:t xml:space="preserve">Источники </w:t>
            </w:r>
            <w:r>
              <w:rPr>
                <w:rFonts w:cs="Times New Roman" w:ascii="Times New Roman" w:hAnsi="Times New Roman"/>
                <w:color w:val="131313"/>
                <w:w w:val="110"/>
                <w:sz w:val="20"/>
                <w:szCs w:val="20"/>
              </w:rPr>
              <w:t>финансирования</w:t>
            </w:r>
          </w:p>
        </w:tc>
      </w:tr>
      <w:tr>
        <w:trPr>
          <w:trHeight w:val="190" w:hRule="atLeast"/>
        </w:trPr>
        <w:tc>
          <w:tcPr>
            <w:tcW w:w="59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369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203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spacing w:val="-2"/>
                <w:w w:val="105"/>
                <w:sz w:val="20"/>
                <w:szCs w:val="20"/>
              </w:rPr>
              <w:t>2026-2041</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8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52" w:left="170"/>
              <w:jc w:val="both"/>
              <w:rPr>
                <w:rFonts w:ascii="Times New Roman" w:hAnsi="Times New Roman" w:cs="Times New Roman"/>
                <w:color w:val="131313"/>
                <w:spacing w:val="-2"/>
                <w:w w:val="105"/>
                <w:sz w:val="20"/>
                <w:szCs w:val="20"/>
              </w:rPr>
            </w:pPr>
            <w:r>
              <w:rPr>
                <w:rFonts w:cs="Times New Roman" w:ascii="Times New Roman" w:hAnsi="Times New Roman"/>
                <w:color w:val="131313"/>
                <w:spacing w:val="-4"/>
                <w:w w:val="105"/>
                <w:sz w:val="20"/>
                <w:szCs w:val="20"/>
              </w:rPr>
              <w:t xml:space="preserve">Иные </w:t>
            </w:r>
            <w:r>
              <w:rPr>
                <w:rFonts w:cs="Times New Roman" w:ascii="Times New Roman" w:hAnsi="Times New Roman"/>
                <w:color w:val="131313"/>
                <w:spacing w:val="-2"/>
                <w:w w:val="105"/>
                <w:sz w:val="20"/>
                <w:szCs w:val="20"/>
              </w:rPr>
              <w:t>источники</w:t>
            </w:r>
          </w:p>
        </w:tc>
      </w:tr>
      <w:tr>
        <w:trPr>
          <w:trHeight w:val="830"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0"/>
              <w:jc w:val="both"/>
              <w:rPr>
                <w:rFonts w:ascii="Times New Roman" w:hAnsi="Times New Roman" w:cs="Times New Roman"/>
                <w:color w:val="131313"/>
                <w:w w:val="107"/>
                <w:sz w:val="20"/>
                <w:szCs w:val="20"/>
              </w:rPr>
            </w:pPr>
            <w:r>
              <w:rPr>
                <w:rFonts w:cs="Times New Roman" w:ascii="Times New Roman" w:hAnsi="Times New Roman"/>
                <w:color w:val="131313"/>
                <w:w w:val="107"/>
                <w:sz w:val="20"/>
                <w:szCs w:val="20"/>
              </w:rPr>
              <w:t>1</w:t>
            </w:r>
          </w:p>
        </w:tc>
        <w:tc>
          <w:tcPr>
            <w:tcW w:w="3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42"/>
              <w:jc w:val="both"/>
              <w:rPr>
                <w:rFonts w:ascii="Times New Roman" w:hAnsi="Times New Roman" w:cs="Times New Roman"/>
                <w:color w:val="131313"/>
                <w:w w:val="110"/>
                <w:sz w:val="20"/>
                <w:szCs w:val="20"/>
              </w:rPr>
            </w:pPr>
            <w:r>
              <w:rPr>
                <w:rFonts w:cs="Times New Roman" w:ascii="Times New Roman" w:hAnsi="Times New Roman"/>
                <w:color w:val="131313"/>
                <w:w w:val="105"/>
                <w:sz w:val="20"/>
                <w:szCs w:val="20"/>
              </w:rPr>
              <w:t xml:space="preserve">Реконструкция водовода от НС </w:t>
            </w:r>
            <w:r>
              <w:rPr>
                <w:rFonts w:cs="Times New Roman" w:ascii="Times New Roman" w:hAnsi="Times New Roman"/>
                <w:color w:val="131313"/>
                <w:sz w:val="20"/>
                <w:szCs w:val="20"/>
              </w:rPr>
              <w:t xml:space="preserve">№6 с. Кендже-Кулак до а. </w:t>
            </w:r>
            <w:r>
              <w:rPr>
                <w:rFonts w:cs="Times New Roman" w:ascii="Times New Roman" w:hAnsi="Times New Roman"/>
                <w:color w:val="131313"/>
                <w:spacing w:val="-2"/>
                <w:w w:val="110"/>
                <w:sz w:val="20"/>
                <w:szCs w:val="20"/>
              </w:rPr>
              <w:t xml:space="preserve">Шарахалсун, с. Кучерла </w:t>
            </w:r>
            <w:r>
              <w:rPr>
                <w:rFonts w:cs="Times New Roman" w:ascii="Times New Roman" w:hAnsi="Times New Roman"/>
                <w:color w:val="131313"/>
                <w:w w:val="110"/>
                <w:sz w:val="20"/>
                <w:szCs w:val="20"/>
              </w:rPr>
              <w:t>протяженностью 10,4 км</w:t>
            </w:r>
          </w:p>
        </w:tc>
        <w:tc>
          <w:tcPr>
            <w:tcW w:w="20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9"/>
              <w:jc w:val="center"/>
              <w:rPr>
                <w:rFonts w:ascii="Times New Roman" w:hAnsi="Times New Roman" w:cs="Times New Roman"/>
                <w:color w:val="131313"/>
                <w:w w:val="105"/>
                <w:sz w:val="20"/>
                <w:szCs w:val="20"/>
              </w:rPr>
            </w:pPr>
            <w:r>
              <w:rPr>
                <w:rFonts w:cs="Times New Roman" w:ascii="Times New Roman" w:hAnsi="Times New Roman"/>
                <w:color w:val="131313"/>
                <w:w w:val="105"/>
                <w:sz w:val="20"/>
                <w:szCs w:val="20"/>
              </w:rPr>
              <w:t>88 300,00</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w w:val="110"/>
                <w:sz w:val="20"/>
                <w:szCs w:val="20"/>
              </w:rPr>
              <w:t>88300,00</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8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color w:val="131313"/>
                <w:spacing w:val="-2"/>
                <w:sz w:val="20"/>
                <w:szCs w:val="20"/>
              </w:rPr>
            </w:pPr>
            <w:r>
              <w:rPr>
                <w:rFonts w:cs="Times New Roman" w:ascii="Times New Roman" w:hAnsi="Times New Roman"/>
                <w:color w:val="131313"/>
                <w:spacing w:val="-2"/>
                <w:sz w:val="20"/>
                <w:szCs w:val="20"/>
              </w:rPr>
              <w:t>88 300, 00</w:t>
            </w:r>
          </w:p>
        </w:tc>
      </w:tr>
      <w:tr>
        <w:trPr>
          <w:trHeight w:val="842"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6"/>
              <w:jc w:val="both"/>
              <w:rPr>
                <w:rFonts w:ascii="Times New Roman" w:hAnsi="Times New Roman" w:cs="Times New Roman"/>
                <w:color w:val="131313"/>
                <w:w w:val="106"/>
                <w:sz w:val="20"/>
                <w:szCs w:val="20"/>
              </w:rPr>
            </w:pPr>
            <w:r>
              <w:rPr>
                <w:rFonts w:cs="Times New Roman" w:ascii="Times New Roman" w:hAnsi="Times New Roman"/>
                <w:color w:val="131313"/>
                <w:w w:val="106"/>
                <w:sz w:val="20"/>
                <w:szCs w:val="20"/>
              </w:rPr>
              <w:t>2</w:t>
            </w:r>
          </w:p>
        </w:tc>
        <w:tc>
          <w:tcPr>
            <w:tcW w:w="3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3"/>
              <w:jc w:val="both"/>
              <w:rPr>
                <w:rFonts w:ascii="Times New Roman" w:hAnsi="Times New Roman" w:cs="Times New Roman"/>
                <w:color w:val="131313"/>
                <w:spacing w:val="-6"/>
                <w:w w:val="105"/>
                <w:sz w:val="20"/>
                <w:szCs w:val="20"/>
              </w:rPr>
            </w:pPr>
            <w:r>
              <w:rPr>
                <w:rFonts w:cs="Times New Roman" w:ascii="Times New Roman" w:hAnsi="Times New Roman"/>
                <w:color w:val="131313"/>
                <w:w w:val="105"/>
                <w:sz w:val="20"/>
                <w:szCs w:val="20"/>
              </w:rPr>
              <w:t xml:space="preserve">Реконструкция водовов от распределительного колодца до НРР а. Шарахалсун, и НРР с. Кучерла протяженностью 9,8 </w:t>
            </w:r>
            <w:r>
              <w:rPr>
                <w:rFonts w:cs="Times New Roman" w:ascii="Times New Roman" w:hAnsi="Times New Roman"/>
                <w:color w:val="131313"/>
                <w:spacing w:val="-6"/>
                <w:w w:val="105"/>
                <w:sz w:val="20"/>
                <w:szCs w:val="20"/>
              </w:rPr>
              <w:t>км</w:t>
            </w:r>
          </w:p>
        </w:tc>
        <w:tc>
          <w:tcPr>
            <w:tcW w:w="20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9"/>
              <w:jc w:val="center"/>
              <w:rPr>
                <w:rFonts w:ascii="Times New Roman" w:hAnsi="Times New Roman" w:cs="Times New Roman"/>
                <w:color w:val="131313"/>
                <w:w w:val="110"/>
                <w:sz w:val="20"/>
                <w:szCs w:val="20"/>
              </w:rPr>
            </w:pPr>
            <w:r>
              <w:rPr>
                <w:rFonts w:cs="Times New Roman" w:ascii="Times New Roman" w:hAnsi="Times New Roman"/>
                <w:color w:val="131313"/>
                <w:w w:val="110"/>
                <w:sz w:val="20"/>
                <w:szCs w:val="20"/>
              </w:rPr>
              <w:t>58 800,00</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w w:val="110"/>
                <w:sz w:val="20"/>
                <w:szCs w:val="20"/>
              </w:rPr>
              <w:t>58800,00</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8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
              <w:jc w:val="center"/>
              <w:rPr>
                <w:rFonts w:ascii="Times New Roman" w:hAnsi="Times New Roman" w:cs="Times New Roman"/>
                <w:color w:val="131313"/>
                <w:spacing w:val="-2"/>
                <w:w w:val="95"/>
                <w:sz w:val="20"/>
                <w:szCs w:val="20"/>
              </w:rPr>
            </w:pPr>
            <w:r>
              <w:rPr>
                <w:rFonts w:cs="Times New Roman" w:ascii="Times New Roman" w:hAnsi="Times New Roman"/>
                <w:color w:val="131313"/>
                <w:spacing w:val="-2"/>
                <w:w w:val="95"/>
                <w:sz w:val="20"/>
                <w:szCs w:val="20"/>
              </w:rPr>
              <w:t>58 800, 00</w:t>
            </w:r>
            <w:bookmarkStart w:id="56" w:name="_Hlk224641352"/>
            <w:bookmarkEnd w:id="56"/>
          </w:p>
        </w:tc>
      </w:tr>
    </w:tbl>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За последние 5 лет крупных инвестиционных проектов в области электроснабжения в Туркменском муниципальном округе Ставропольского края не было.</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Инвестиционная программа ПАО «Россети Северный Кавказ» (ИПР) на период 2025 – 2029 утверждена приказом Министерства энергетики Российской Федерации от 25.12.2025 № 23@.</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xml:space="preserve">Мероприятия в системе электроснабжения на основании Приказа Министерства энергетики </w:t>
      </w:r>
      <w:r>
        <w:rPr>
          <w:rFonts w:cs="Times New Roman" w:ascii="Times New Roman" w:hAnsi="Times New Roman"/>
          <w:vanish/>
          <w:sz w:val="24"/>
          <w:szCs w:val="28"/>
        </w:rPr>
        <w:t xml:space="preserve">Российской Федерации </w:t>
      </w:r>
      <w:r>
        <w:rPr>
          <w:rFonts w:cs="Times New Roman" w:ascii="Times New Roman" w:hAnsi="Times New Roman"/>
          <w:sz w:val="24"/>
          <w:szCs w:val="28"/>
        </w:rPr>
        <w:t>№ 23@ от 25 декабря 2025 г. «Об утверждении инвестиционной программы ПАО «Россети Северный Кавказ» на 2025-2029 горды и изменений вносимых в инвестиционную программу ПАО «Россети Северный Кавказ», утвержденную приказом Минэнерго России от 28.12.2024 № 47@».</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firstLine="851"/>
        <w:jc w:val="right"/>
        <w:rPr>
          <w:rFonts w:ascii="Times New Roman" w:hAnsi="Times New Roman" w:cs="Times New Roman"/>
          <w:sz w:val="24"/>
          <w:szCs w:val="28"/>
        </w:rPr>
      </w:pPr>
      <w:r>
        <w:rPr>
          <w:rFonts w:cs="Times New Roman" w:ascii="Times New Roman" w:hAnsi="Times New Roman"/>
          <w:sz w:val="24"/>
          <w:szCs w:val="28"/>
        </w:rPr>
        <w:t>Таблица 30.</w:t>
      </w:r>
    </w:p>
    <w:tbl>
      <w:tblPr>
        <w:tblW w:w="14695" w:type="dxa"/>
        <w:jc w:val="left"/>
        <w:tblInd w:w="148" w:type="dxa"/>
        <w:tblLayout w:type="fixed"/>
        <w:tblCellMar>
          <w:top w:w="0" w:type="dxa"/>
          <w:left w:w="5" w:type="dxa"/>
          <w:bottom w:w="0" w:type="dxa"/>
          <w:right w:w="5" w:type="dxa"/>
        </w:tblCellMar>
        <w:tblLook w:val="04a0"/>
      </w:tblPr>
      <w:tblGrid>
        <w:gridCol w:w="596"/>
        <w:gridCol w:w="3831"/>
        <w:gridCol w:w="1897"/>
        <w:gridCol w:w="1986"/>
        <w:gridCol w:w="978"/>
        <w:gridCol w:w="808"/>
        <w:gridCol w:w="704"/>
        <w:gridCol w:w="2568"/>
        <w:gridCol w:w="1325"/>
      </w:tblGrid>
      <w:tr>
        <w:trPr>
          <w:trHeight w:val="424" w:hRule="atLeast"/>
        </w:trPr>
        <w:tc>
          <w:tcPr>
            <w:tcW w:w="596"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8"/>
              <w:jc w:val="center"/>
              <w:rPr>
                <w:rFonts w:ascii="Times New Roman" w:hAnsi="Times New Roman" w:cs="Times New Roman"/>
                <w:color w:val="131313"/>
                <w:w w:val="109"/>
                <w:sz w:val="20"/>
                <w:szCs w:val="20"/>
              </w:rPr>
            </w:pPr>
            <w:r>
              <w:rPr>
                <w:rFonts w:cs="Times New Roman" w:ascii="Times New Roman" w:hAnsi="Times New Roman"/>
                <w:color w:val="131313"/>
                <w:w w:val="109"/>
                <w:sz w:val="20"/>
                <w:szCs w:val="20"/>
              </w:rPr>
              <w:t>№</w:t>
            </w:r>
          </w:p>
          <w:p>
            <w:pPr>
              <w:pStyle w:val="Normal"/>
              <w:spacing w:lineRule="auto" w:line="240" w:before="0" w:after="0"/>
              <w:ind w:left="18"/>
              <w:jc w:val="center"/>
              <w:rPr>
                <w:rFonts w:ascii="Times New Roman" w:hAnsi="Times New Roman" w:cs="Times New Roman"/>
                <w:color w:val="131313"/>
                <w:w w:val="109"/>
                <w:sz w:val="20"/>
                <w:szCs w:val="20"/>
              </w:rPr>
            </w:pPr>
            <w:r>
              <w:rPr>
                <w:rFonts w:cs="Times New Roman" w:ascii="Times New Roman" w:hAnsi="Times New Roman"/>
                <w:color w:val="131313"/>
                <w:spacing w:val="-4"/>
                <w:sz w:val="20"/>
                <w:szCs w:val="20"/>
              </w:rPr>
              <w:t>п/п</w:t>
            </w:r>
          </w:p>
        </w:tc>
        <w:tc>
          <w:tcPr>
            <w:tcW w:w="383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6"/>
              <w:jc w:val="center"/>
              <w:rPr>
                <w:rFonts w:ascii="Times New Roman" w:hAnsi="Times New Roman" w:cs="Times New Roman"/>
                <w:color w:val="131313"/>
                <w:w w:val="105"/>
                <w:sz w:val="20"/>
                <w:szCs w:val="20"/>
              </w:rPr>
            </w:pPr>
            <w:r>
              <w:rPr>
                <w:rFonts w:cs="Times New Roman" w:ascii="Times New Roman" w:hAnsi="Times New Roman"/>
                <w:color w:val="131313"/>
                <w:w w:val="105"/>
                <w:sz w:val="20"/>
                <w:szCs w:val="20"/>
              </w:rPr>
              <w:t>Наименование объекта</w:t>
            </w:r>
          </w:p>
        </w:tc>
        <w:tc>
          <w:tcPr>
            <w:tcW w:w="189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2" w:left="137"/>
              <w:jc w:val="center"/>
              <w:rPr>
                <w:rFonts w:ascii="Times New Roman" w:hAnsi="Times New Roman" w:cs="Times New Roman"/>
                <w:color w:val="131313"/>
                <w:spacing w:val="-2"/>
                <w:w w:val="105"/>
                <w:sz w:val="20"/>
                <w:szCs w:val="20"/>
              </w:rPr>
            </w:pPr>
            <w:r>
              <w:rPr>
                <w:rFonts w:cs="Times New Roman" w:ascii="Times New Roman" w:hAnsi="Times New Roman"/>
                <w:color w:val="131313"/>
                <w:w w:val="105"/>
                <w:sz w:val="20"/>
                <w:szCs w:val="20"/>
              </w:rPr>
              <w:t xml:space="preserve">Объем капитальных </w:t>
            </w:r>
            <w:r>
              <w:rPr>
                <w:rFonts w:cs="Times New Roman" w:ascii="Times New Roman" w:hAnsi="Times New Roman"/>
                <w:color w:val="131313"/>
                <w:spacing w:val="-2"/>
                <w:w w:val="105"/>
                <w:sz w:val="20"/>
                <w:szCs w:val="20"/>
              </w:rPr>
              <w:t>вложений</w:t>
            </w:r>
          </w:p>
        </w:tc>
        <w:tc>
          <w:tcPr>
            <w:tcW w:w="4476"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81"/>
              <w:jc w:val="center"/>
              <w:rPr>
                <w:rFonts w:ascii="Times New Roman" w:hAnsi="Times New Roman" w:cs="Times New Roman"/>
                <w:color w:val="131313"/>
                <w:spacing w:val="-2"/>
                <w:w w:val="105"/>
                <w:sz w:val="20"/>
                <w:szCs w:val="20"/>
              </w:rPr>
            </w:pPr>
            <w:r>
              <w:rPr>
                <w:rFonts w:cs="Times New Roman" w:ascii="Times New Roman" w:hAnsi="Times New Roman"/>
                <w:color w:val="131313"/>
                <w:w w:val="105"/>
                <w:sz w:val="20"/>
                <w:szCs w:val="20"/>
              </w:rPr>
              <w:t xml:space="preserve">Финансовые потребности для реализации </w:t>
            </w:r>
            <w:r>
              <w:rPr>
                <w:rFonts w:cs="Times New Roman" w:ascii="Times New Roman" w:hAnsi="Times New Roman"/>
                <w:color w:val="131313"/>
                <w:spacing w:val="-2"/>
                <w:w w:val="105"/>
                <w:sz w:val="20"/>
                <w:szCs w:val="20"/>
              </w:rPr>
              <w:t>мероприятий</w:t>
            </w:r>
          </w:p>
        </w:tc>
        <w:tc>
          <w:tcPr>
            <w:tcW w:w="389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5" w:after="0"/>
              <w:ind w:firstLine="293" w:left="589" w:right="125"/>
              <w:jc w:val="center"/>
              <w:rPr>
                <w:rFonts w:ascii="Times New Roman" w:hAnsi="Times New Roman" w:cs="Times New Roman"/>
                <w:color w:val="131313"/>
                <w:w w:val="110"/>
                <w:sz w:val="20"/>
                <w:szCs w:val="20"/>
              </w:rPr>
            </w:pPr>
            <w:r>
              <w:rPr>
                <w:rFonts w:cs="Times New Roman" w:ascii="Times New Roman" w:hAnsi="Times New Roman"/>
                <w:color w:val="131313"/>
                <w:spacing w:val="-2"/>
                <w:w w:val="110"/>
                <w:sz w:val="20"/>
                <w:szCs w:val="20"/>
              </w:rPr>
              <w:t xml:space="preserve">Источники </w:t>
            </w:r>
            <w:r>
              <w:rPr>
                <w:rFonts w:cs="Times New Roman" w:ascii="Times New Roman" w:hAnsi="Times New Roman"/>
                <w:color w:val="131313"/>
                <w:w w:val="110"/>
                <w:sz w:val="20"/>
                <w:szCs w:val="20"/>
              </w:rPr>
              <w:t>финансирования</w:t>
            </w:r>
          </w:p>
        </w:tc>
      </w:tr>
      <w:tr>
        <w:trPr>
          <w:trHeight w:val="417" w:hRule="atLeast"/>
        </w:trPr>
        <w:tc>
          <w:tcPr>
            <w:tcW w:w="59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rPr>
            </w:pPr>
            <w:r>
              <w:rPr>
                <w:sz w:val="20"/>
                <w:szCs w:val="20"/>
              </w:rPr>
            </w:r>
          </w:p>
        </w:tc>
        <w:tc>
          <w:tcPr>
            <w:tcW w:w="3831"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rPr>
            </w:pPr>
            <w:r>
              <w:rPr>
                <w:sz w:val="20"/>
                <w:szCs w:val="20"/>
              </w:rPr>
            </w:r>
          </w:p>
        </w:tc>
        <w:tc>
          <w:tcPr>
            <w:tcW w:w="189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jc w:val="center"/>
              <w:rPr>
                <w:sz w:val="20"/>
                <w:szCs w:val="20"/>
              </w:rPr>
            </w:pPr>
            <w:r>
              <w:rPr>
                <w:sz w:val="20"/>
                <w:szCs w:val="20"/>
              </w:rPr>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spacing w:val="-2"/>
                <w:w w:val="105"/>
                <w:sz w:val="20"/>
                <w:szCs w:val="20"/>
              </w:rPr>
              <w:t>2026-2041</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25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81" w:left="170" w:right="195"/>
              <w:jc w:val="center"/>
              <w:rPr>
                <w:rFonts w:ascii="Times New Roman" w:hAnsi="Times New Roman" w:cs="Times New Roman"/>
                <w:color w:val="131313"/>
                <w:spacing w:val="-2"/>
                <w:w w:val="105"/>
                <w:sz w:val="20"/>
                <w:szCs w:val="20"/>
              </w:rPr>
            </w:pPr>
            <w:r>
              <w:rPr>
                <w:rFonts w:cs="Times New Roman" w:ascii="Times New Roman" w:hAnsi="Times New Roman"/>
                <w:color w:val="131313"/>
                <w:spacing w:val="-2"/>
                <w:w w:val="105"/>
                <w:sz w:val="20"/>
                <w:szCs w:val="20"/>
              </w:rPr>
              <w:t>Федеральный бюджет, и бюджет субъектов РФ</w:t>
            </w:r>
          </w:p>
        </w:tc>
        <w:tc>
          <w:tcPr>
            <w:tcW w:w="13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color w:val="131313"/>
                <w:spacing w:val="-2"/>
                <w:w w:val="105"/>
                <w:sz w:val="20"/>
                <w:szCs w:val="20"/>
              </w:rPr>
            </w:pPr>
            <w:r>
              <w:rPr>
                <w:rFonts w:cs="Times New Roman" w:ascii="Times New Roman" w:hAnsi="Times New Roman"/>
                <w:color w:val="131313"/>
                <w:spacing w:val="-2"/>
                <w:w w:val="105"/>
                <w:sz w:val="20"/>
                <w:szCs w:val="20"/>
              </w:rPr>
              <w:t>Иные источники</w:t>
            </w:r>
          </w:p>
        </w:tc>
      </w:tr>
      <w:tr>
        <w:trPr>
          <w:trHeight w:val="837"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0"/>
              <w:jc w:val="center"/>
              <w:rPr>
                <w:rFonts w:ascii="Times New Roman" w:hAnsi="Times New Roman" w:cs="Times New Roman"/>
                <w:color w:val="131313"/>
                <w:w w:val="107"/>
                <w:sz w:val="20"/>
                <w:szCs w:val="20"/>
              </w:rPr>
            </w:pPr>
            <w:r>
              <w:rPr>
                <w:rFonts w:cs="Times New Roman" w:ascii="Times New Roman" w:hAnsi="Times New Roman"/>
                <w:color w:val="131313"/>
                <w:w w:val="107"/>
                <w:sz w:val="20"/>
                <w:szCs w:val="20"/>
              </w:rPr>
              <w:t>1</w:t>
            </w:r>
          </w:p>
        </w:tc>
        <w:tc>
          <w:tcPr>
            <w:tcW w:w="38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36" w:after="0"/>
              <w:ind w:hanging="18" w:left="40"/>
              <w:jc w:val="center"/>
              <w:rPr>
                <w:sz w:val="20"/>
                <w:szCs w:val="20"/>
              </w:rPr>
            </w:pPr>
            <w:r>
              <w:rPr>
                <w:rFonts w:cs="Times New Roman" w:ascii="Times New Roman" w:hAnsi="Times New Roman"/>
                <w:color w:val="131313"/>
                <w:w w:val="105"/>
                <w:sz w:val="20"/>
                <w:szCs w:val="20"/>
              </w:rPr>
              <w:t xml:space="preserve">Реконструкция ВЛ-10 кВ Ф-774 от ПС Кучерла Туркменского </w:t>
            </w:r>
            <w:r>
              <w:rPr>
                <w:rFonts w:eastAsia="Times New Roman" w:cs="Times New Roman" w:ascii="Times New Roman" w:hAnsi="Times New Roman"/>
                <w:color w:val="131313"/>
                <w:w w:val="105"/>
                <w:sz w:val="20"/>
                <w:szCs w:val="20"/>
                <w:lang w:eastAsia="ru-RU"/>
              </w:rPr>
              <w:t>муниципального округа</w:t>
            </w:r>
            <w:r>
              <w:rPr>
                <w:rFonts w:cs="Times New Roman" w:ascii="Times New Roman" w:hAnsi="Times New Roman"/>
                <w:color w:val="131313"/>
                <w:w w:val="105"/>
                <w:sz w:val="20"/>
                <w:szCs w:val="20"/>
              </w:rPr>
              <w:t xml:space="preserve"> (с установкой доп. ТП-10/0,4кВ, реконструкцией ВЛ-0,4кВ для разгрузки ТП-10/774)</w:t>
            </w:r>
          </w:p>
        </w:tc>
        <w:tc>
          <w:tcPr>
            <w:tcW w:w="1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1"/>
              <w:jc w:val="center"/>
              <w:rPr>
                <w:rFonts w:ascii="Times New Roman" w:hAnsi="Times New Roman" w:cs="Times New Roman"/>
                <w:color w:val="131313"/>
                <w:w w:val="105"/>
                <w:sz w:val="20"/>
                <w:szCs w:val="20"/>
              </w:rPr>
            </w:pPr>
            <w:r>
              <w:rPr>
                <w:rFonts w:cs="Times New Roman" w:ascii="Times New Roman" w:hAnsi="Times New Roman"/>
                <w:color w:val="131313"/>
                <w:w w:val="105"/>
                <w:sz w:val="20"/>
                <w:szCs w:val="20"/>
              </w:rPr>
              <w:t>5 060,00</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w w:val="110"/>
                <w:sz w:val="20"/>
                <w:szCs w:val="20"/>
              </w:rPr>
              <w:t>5 060,00</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25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color w:val="131313"/>
                <w:spacing w:val="-2"/>
                <w:sz w:val="20"/>
                <w:szCs w:val="20"/>
              </w:rPr>
            </w:pPr>
            <w:r>
              <w:rPr>
                <w:rFonts w:cs="Times New Roman" w:ascii="Times New Roman" w:hAnsi="Times New Roman"/>
                <w:color w:val="131313"/>
                <w:spacing w:val="-2"/>
                <w:sz w:val="20"/>
                <w:szCs w:val="20"/>
              </w:rPr>
              <w:t>4 240,00</w:t>
            </w:r>
          </w:p>
        </w:tc>
        <w:tc>
          <w:tcPr>
            <w:tcW w:w="13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5"/>
              <w:jc w:val="center"/>
              <w:rPr>
                <w:rFonts w:ascii="Times New Roman" w:hAnsi="Times New Roman" w:cs="Times New Roman"/>
                <w:color w:val="131313"/>
                <w:spacing w:val="-2"/>
                <w:sz w:val="20"/>
                <w:szCs w:val="20"/>
              </w:rPr>
            </w:pPr>
            <w:r>
              <w:rPr>
                <w:rFonts w:cs="Times New Roman" w:ascii="Times New Roman" w:hAnsi="Times New Roman"/>
                <w:color w:val="131313"/>
                <w:spacing w:val="-2"/>
                <w:sz w:val="20"/>
                <w:szCs w:val="20"/>
              </w:rPr>
              <w:t>820,00</w:t>
            </w:r>
          </w:p>
        </w:tc>
      </w:tr>
      <w:tr>
        <w:trPr>
          <w:trHeight w:val="53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6"/>
              <w:jc w:val="center"/>
              <w:rPr>
                <w:rFonts w:ascii="Times New Roman" w:hAnsi="Times New Roman" w:cs="Times New Roman"/>
                <w:color w:val="131313"/>
                <w:w w:val="106"/>
                <w:sz w:val="20"/>
                <w:szCs w:val="20"/>
              </w:rPr>
            </w:pPr>
            <w:r>
              <w:rPr>
                <w:rFonts w:cs="Times New Roman" w:ascii="Times New Roman" w:hAnsi="Times New Roman"/>
                <w:color w:val="131313"/>
                <w:w w:val="106"/>
                <w:sz w:val="20"/>
                <w:szCs w:val="20"/>
              </w:rPr>
              <w:t>2</w:t>
            </w:r>
          </w:p>
        </w:tc>
        <w:tc>
          <w:tcPr>
            <w:tcW w:w="38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3"/>
              <w:jc w:val="center"/>
              <w:rPr>
                <w:sz w:val="20"/>
                <w:szCs w:val="20"/>
              </w:rPr>
            </w:pPr>
            <w:r>
              <w:rPr>
                <w:rFonts w:cs="Times New Roman" w:ascii="Times New Roman" w:hAnsi="Times New Roman"/>
                <w:color w:val="131313"/>
                <w:w w:val="105"/>
                <w:sz w:val="20"/>
                <w:szCs w:val="20"/>
              </w:rPr>
              <w:t xml:space="preserve">Реконструкция ВЛ-10 кВ Ф-722 от ПС «Камбулат» Туркменского </w:t>
            </w:r>
            <w:r>
              <w:rPr>
                <w:rFonts w:eastAsia="Times New Roman" w:cs="Times New Roman" w:ascii="Times New Roman" w:hAnsi="Times New Roman"/>
                <w:color w:val="131313"/>
                <w:spacing w:val="-6"/>
                <w:w w:val="105"/>
                <w:sz w:val="20"/>
                <w:szCs w:val="20"/>
                <w:lang w:eastAsia="ru-RU"/>
              </w:rPr>
              <w:t>муниципального округа</w:t>
            </w:r>
          </w:p>
        </w:tc>
        <w:tc>
          <w:tcPr>
            <w:tcW w:w="1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8"/>
              <w:jc w:val="center"/>
              <w:rPr>
                <w:rFonts w:ascii="Times New Roman" w:hAnsi="Times New Roman" w:cs="Times New Roman"/>
                <w:color w:val="131313"/>
                <w:w w:val="110"/>
                <w:sz w:val="20"/>
                <w:szCs w:val="20"/>
              </w:rPr>
            </w:pPr>
            <w:r>
              <w:rPr>
                <w:rFonts w:cs="Times New Roman" w:ascii="Times New Roman" w:hAnsi="Times New Roman"/>
                <w:color w:val="131313"/>
                <w:w w:val="110"/>
                <w:sz w:val="20"/>
                <w:szCs w:val="20"/>
              </w:rPr>
              <w:t>1580,00</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color w:val="131313"/>
                <w:w w:val="110"/>
                <w:sz w:val="20"/>
                <w:szCs w:val="20"/>
              </w:rPr>
              <w:t>1 580,00</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25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
              <w:jc w:val="center"/>
              <w:rPr>
                <w:rFonts w:ascii="Times New Roman" w:hAnsi="Times New Roman" w:cs="Times New Roman"/>
                <w:color w:val="131313"/>
                <w:spacing w:val="-2"/>
                <w:w w:val="95"/>
                <w:sz w:val="20"/>
                <w:szCs w:val="20"/>
              </w:rPr>
            </w:pPr>
            <w:r>
              <w:rPr>
                <w:rFonts w:cs="Times New Roman" w:ascii="Times New Roman" w:hAnsi="Times New Roman"/>
                <w:color w:val="131313"/>
                <w:spacing w:val="-2"/>
                <w:w w:val="95"/>
                <w:sz w:val="20"/>
                <w:szCs w:val="20"/>
              </w:rPr>
              <w:t>1 310,00</w:t>
            </w:r>
          </w:p>
        </w:tc>
        <w:tc>
          <w:tcPr>
            <w:tcW w:w="13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
              <w:jc w:val="center"/>
              <w:rPr>
                <w:rFonts w:ascii="Times New Roman" w:hAnsi="Times New Roman" w:cs="Times New Roman"/>
                <w:color w:val="131313"/>
                <w:spacing w:val="-2"/>
                <w:w w:val="95"/>
                <w:sz w:val="20"/>
                <w:szCs w:val="20"/>
              </w:rPr>
            </w:pPr>
            <w:r>
              <w:rPr>
                <w:rFonts w:cs="Times New Roman" w:ascii="Times New Roman" w:hAnsi="Times New Roman"/>
                <w:color w:val="131313"/>
                <w:spacing w:val="-2"/>
                <w:w w:val="95"/>
                <w:sz w:val="20"/>
                <w:szCs w:val="20"/>
              </w:rPr>
              <w:t>260,00</w:t>
            </w:r>
          </w:p>
        </w:tc>
      </w:tr>
      <w:tr>
        <w:trPr>
          <w:trHeight w:val="632"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w:t>
            </w:r>
          </w:p>
        </w:tc>
        <w:tc>
          <w:tcPr>
            <w:tcW w:w="38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sz w:val="20"/>
                <w:szCs w:val="20"/>
              </w:rPr>
            </w:pPr>
            <w:r>
              <w:rPr>
                <w:rFonts w:cs="Times New Roman" w:ascii="Times New Roman" w:hAnsi="Times New Roman"/>
                <w:sz w:val="20"/>
                <w:szCs w:val="20"/>
              </w:rPr>
              <w:t xml:space="preserve">Реконструкция ВЛ-0,4 кВ Ф-2, Ф-3 от КТП-1/722 в с. Камбулат Туркменского  </w:t>
            </w:r>
            <w:r>
              <w:rPr>
                <w:rFonts w:eastAsia="Times New Roman" w:cs="Times New Roman" w:ascii="Times New Roman" w:hAnsi="Times New Roman"/>
                <w:sz w:val="20"/>
                <w:szCs w:val="20"/>
                <w:lang w:eastAsia="ru-RU"/>
              </w:rPr>
              <w:t>муниципального округа</w:t>
            </w:r>
          </w:p>
        </w:tc>
        <w:tc>
          <w:tcPr>
            <w:tcW w:w="1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7"/>
              <w:jc w:val="center"/>
              <w:rPr>
                <w:rFonts w:ascii="Times New Roman" w:hAnsi="Times New Roman" w:cs="Times New Roman"/>
                <w:sz w:val="20"/>
                <w:szCs w:val="20"/>
              </w:rPr>
            </w:pPr>
            <w:r>
              <w:rPr>
                <w:rFonts w:cs="Times New Roman" w:ascii="Times New Roman" w:hAnsi="Times New Roman"/>
                <w:sz w:val="20"/>
                <w:szCs w:val="20"/>
              </w:rPr>
              <w:t>18980,00</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18 980,00</w:t>
            </w:r>
          </w:p>
        </w:tc>
        <w:tc>
          <w:tcPr>
            <w:tcW w:w="9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25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
              <w:jc w:val="center"/>
              <w:rPr>
                <w:rFonts w:ascii="Times New Roman" w:hAnsi="Times New Roman" w:cs="Times New Roman"/>
                <w:color w:val="131313"/>
                <w:spacing w:val="-2"/>
                <w:w w:val="95"/>
                <w:sz w:val="20"/>
                <w:szCs w:val="20"/>
              </w:rPr>
            </w:pPr>
            <w:r>
              <w:rPr>
                <w:rFonts w:cs="Times New Roman" w:ascii="Times New Roman" w:hAnsi="Times New Roman"/>
                <w:color w:val="131313"/>
                <w:spacing w:val="-2"/>
                <w:w w:val="95"/>
                <w:sz w:val="20"/>
                <w:szCs w:val="20"/>
              </w:rPr>
              <w:t>15 820,00</w:t>
            </w:r>
          </w:p>
        </w:tc>
        <w:tc>
          <w:tcPr>
            <w:tcW w:w="13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5"/>
              <w:jc w:val="center"/>
              <w:rPr>
                <w:rFonts w:ascii="Times New Roman" w:hAnsi="Times New Roman" w:cs="Times New Roman"/>
                <w:color w:val="131313"/>
                <w:spacing w:val="-2"/>
                <w:w w:val="95"/>
                <w:sz w:val="20"/>
                <w:szCs w:val="20"/>
              </w:rPr>
            </w:pPr>
            <w:r>
              <w:rPr>
                <w:rFonts w:cs="Times New Roman" w:ascii="Times New Roman" w:hAnsi="Times New Roman"/>
                <w:color w:val="131313"/>
                <w:spacing w:val="-2"/>
                <w:w w:val="95"/>
                <w:sz w:val="20"/>
                <w:szCs w:val="20"/>
              </w:rPr>
              <w:t>3 160,00</w:t>
            </w:r>
          </w:p>
        </w:tc>
      </w:tr>
    </w:tbl>
    <w:p>
      <w:pPr>
        <w:sectPr>
          <w:footerReference w:type="even" r:id="rId24"/>
          <w:footerReference w:type="default" r:id="rId25"/>
          <w:footerReference w:type="first" r:id="rId26"/>
          <w:type w:val="nextPage"/>
          <w:pgSz w:orient="landscape" w:w="16838" w:h="11906"/>
          <w:pgMar w:left="993" w:right="1134" w:gutter="0" w:header="0" w:top="1418" w:footer="708" w:bottom="991"/>
          <w:pgNumType w:fmt="decimal"/>
          <w:formProt w:val="false"/>
          <w:textDirection w:val="lrTb"/>
          <w:docGrid w:type="default" w:linePitch="360" w:charSpace="24576"/>
        </w:sectPr>
      </w:pPr>
    </w:p>
    <w:p>
      <w:pPr>
        <w:pStyle w:val="Heading1"/>
        <w:spacing w:lineRule="auto" w:line="240" w:before="0" w:after="0"/>
        <w:jc w:val="center"/>
        <w:rPr>
          <w:rFonts w:ascii="Times New Roman" w:hAnsi="Times New Roman" w:cs="Times New Roman"/>
          <w:bCs/>
          <w:color w:themeColor="text1" w:val="000000"/>
          <w:sz w:val="24"/>
          <w:szCs w:val="24"/>
        </w:rPr>
      </w:pPr>
      <w:bookmarkStart w:id="57" w:name="_Toc224805161"/>
      <w:r>
        <w:rPr>
          <w:rFonts w:cs="Times New Roman" w:ascii="Times New Roman" w:hAnsi="Times New Roman"/>
          <w:bCs/>
          <w:color w:themeColor="text1" w:val="000000"/>
          <w:sz w:val="24"/>
          <w:szCs w:val="24"/>
        </w:rPr>
        <w:t>ОБОСНОВЫВАЮЩИЕ МАТЕРИАЛЫ</w:t>
      </w:r>
      <w:bookmarkEnd w:id="57"/>
    </w:p>
    <w:p>
      <w:pPr>
        <w:pStyle w:val="Normal"/>
        <w:rPr/>
      </w:pPr>
      <w:r>
        <w:rPr/>
      </w:r>
    </w:p>
    <w:p>
      <w:pPr>
        <w:pStyle w:val="Heading1"/>
        <w:spacing w:lineRule="auto" w:line="240" w:before="0" w:after="0"/>
        <w:ind w:firstLine="567"/>
        <w:rPr>
          <w:rFonts w:ascii="Times New Roman" w:hAnsi="Times New Roman" w:cs="Times New Roman"/>
          <w:bCs/>
          <w:color w:themeColor="text1" w:val="000000"/>
          <w:sz w:val="24"/>
          <w:szCs w:val="24"/>
        </w:rPr>
      </w:pPr>
      <w:bookmarkStart w:id="58" w:name="_Toc224805162"/>
      <w:r>
        <w:rPr>
          <w:rFonts w:cs="Times New Roman" w:ascii="Times New Roman" w:hAnsi="Times New Roman"/>
          <w:bCs/>
          <w:color w:themeColor="text1" w:val="000000"/>
          <w:sz w:val="24"/>
          <w:szCs w:val="24"/>
        </w:rPr>
        <w:t>1. Обоснование прогнозируемого спроса на коммунальные ресурсы</w:t>
      </w:r>
      <w:bookmarkEnd w:id="58"/>
      <w:r>
        <w:rPr>
          <w:rFonts w:cs="Times New Roman" w:ascii="Times New Roman" w:hAnsi="Times New Roman"/>
          <w:bCs/>
          <w:color w:themeColor="text1" w:val="000000"/>
          <w:sz w:val="24"/>
          <w:szCs w:val="24"/>
        </w:rPr>
        <w:t>.</w:t>
      </w:r>
    </w:p>
    <w:p>
      <w:pPr>
        <w:pStyle w:val="Normal"/>
        <w:spacing w:lineRule="auto" w:line="240" w:before="0" w:after="0"/>
        <w:ind w:firstLine="567" w:right="156"/>
        <w:jc w:val="both"/>
        <w:rPr>
          <w:rFonts w:ascii="Times New Roman" w:hAnsi="Times New Roman" w:cs="Times New Roman"/>
          <w:iCs/>
          <w:sz w:val="24"/>
          <w:szCs w:val="24"/>
        </w:rPr>
      </w:pPr>
      <w:r>
        <w:rPr>
          <w:rFonts w:cs="Times New Roman" w:ascii="Times New Roman" w:hAnsi="Times New Roman"/>
          <w:iCs/>
          <w:sz w:val="24"/>
          <w:szCs w:val="24"/>
        </w:rPr>
        <w:t>Прогноз спроса на коммунальные ресурсы Туркменского муниципального округа.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Настоящий прогноз представляет собой развёрнутый аналитический документ, посвящённый оценке будущего спроса на коммунальные ресурсы в Туркменском муниципальном округе. Он сформирован на основании комплексного анализа существующих и перспективных показателей потребления — с учётом стратегических документов развития территории и динамики социально-экономических процессов.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Прогноз служит важным инструментом для планирования развития коммунальной инфраструктуры округа и формирования инвестиционных программ, направленных на обеспечение надёжного и качественного предоставления коммунальных услуг населению.</w:t>
      </w:r>
    </w:p>
    <w:p>
      <w:pPr>
        <w:pStyle w:val="Normal"/>
        <w:spacing w:lineRule="auto" w:line="240" w:before="0" w:after="0"/>
        <w:ind w:firstLine="567" w:right="156"/>
        <w:jc w:val="both"/>
        <w:rPr>
          <w:rFonts w:ascii="Times New Roman" w:hAnsi="Times New Roman" w:cs="Times New Roman"/>
          <w:sz w:val="24"/>
          <w:szCs w:val="24"/>
          <w:u w:val="single"/>
        </w:rPr>
      </w:pPr>
      <w:r>
        <w:rPr>
          <w:rFonts w:cs="Times New Roman" w:ascii="Times New Roman" w:hAnsi="Times New Roman"/>
          <w:sz w:val="24"/>
          <w:szCs w:val="24"/>
        </w:rPr>
        <w:t>Методология прогнозирования.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В основе прогноза лежит системный подход, сочетающий количественные и качественные методы анализа. Для формирования достоверных оценок использованы следующие исходные данные:</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генеральный план развития Туркменского муниципального округа;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схема территориального планирования;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программа комплексного развития систем коммунальной инфраструктуры до 2041 года;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данные о текущем состоянии жилищного фонда;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статистика потребления коммунальных ресурсов за последние годы;</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анализ факторов, способных оказать влияние на динамику спроса.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Ключевые параметры, учитываемые при прогнозировании: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планируемое увеличение площади жилищного фонда до 2031 года;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прогнозируемая динамика численности населения округа;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уровень жилищной обеспеченности граждан;</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перспективы развития социальной инфраструктуры;</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планы по модернизации коммунальной инфраструктуры;</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тенденции в сфере энергосбережения и энергоэффективности.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Анализ существующего положения.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На сегодняшний день коммунальная инфраструктура Туркменского муниципального округа представляет собой сложную, но достаточно развитую систему, способную удовлетворять текущие потребности населения.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Электроснабжение</w:t>
      </w:r>
      <w:r>
        <w:rPr>
          <w:rFonts w:cs="Times New Roman" w:ascii="Times New Roman" w:hAnsi="Times New Roman"/>
          <w:sz w:val="24"/>
          <w:szCs w:val="24"/>
        </w:rPr>
        <w:t>. На территории округа функционирует развитая сеть электроснабжения, включающая 8 подстанций, что обеспечивает надёжное энергоснабжение как жилых, так и промышленных объектов.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Водоснабжение.</w:t>
      </w:r>
      <w:r>
        <w:rPr>
          <w:rFonts w:cs="Times New Roman" w:ascii="Times New Roman" w:hAnsi="Times New Roman"/>
          <w:sz w:val="24"/>
          <w:szCs w:val="24"/>
        </w:rPr>
        <w:t xml:space="preserve"> Система водоснабжения базируется на использовании как поверхностных, так и подземных источников, что создаёт определённый запас прочности и позволяет гибко реагировать на сезонные колебания спроса.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Газоснабжение.</w:t>
      </w:r>
      <w:r>
        <w:rPr>
          <w:rFonts w:cs="Times New Roman" w:ascii="Times New Roman" w:hAnsi="Times New Roman"/>
          <w:sz w:val="24"/>
          <w:szCs w:val="24"/>
        </w:rPr>
        <w:t xml:space="preserve"> Газовая инфраструктура представлена разветвлённой сетью распределительных пунктов, обеспечивающих подачу природного газа потребителям. Уровень газификации округа достаточно высок, что способствует повышению качества жизни населения.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Теплоснабжение.</w:t>
      </w:r>
      <w:r>
        <w:rPr>
          <w:rFonts w:cs="Times New Roman" w:ascii="Times New Roman" w:hAnsi="Times New Roman"/>
          <w:sz w:val="24"/>
          <w:szCs w:val="24"/>
        </w:rPr>
        <w:t xml:space="preserve"> Централизованное теплоснабжение охватывает основные населённые пункты округа, обеспечивая комфортные условия проживания в холодный период года. Система теплоснабжения поддерживается в работоспособном состоянии, хотя требует планомерной модернизации.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Прогнозируемые изменения и перспективные показатели.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Анализ стратегических документов и текущих тенденций позволяет выделить ряд ключевых факторов, которые будут определять динамику спроса на коммунальные ресурсы в среднесрочной и долгосрочной перспективе:</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Увеличение площади жилищного фонда. В соответствии с генеральным планом развития округа планируется ввод в эксплуатацию новых жилых комплексов, что неизбежно приведёт к росту потребления всех видов коммунальных ресурсов.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Рост уровня благоустройства населённых пунктов. Реализация программ благоустройства, включая развитие дорожной сети, озеленение, создание общественных пространств, косвенно влияет на потребление воды, электроэнергии и тепла.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Повышение качества жизни населения. С ростом благосостояния жителей округа возрастает спрос на комфортные условия проживания, что выражается в увеличении потребления коммунальных услуг.</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Модернизация коммунальной инфраструктуры. Внедрение современных технологий и оборудования позволит повысить эффективность работы систем жизнеобеспечения, снизить потери ресурсов и улучшить качество предоставляемых услуг.</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Особенности развития по видам ресурсов.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Прогноз спроса детализирован по отдельным сферам коммунального хозяйства с учётом специфики каждой из них:</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Электроснабжение.</w:t>
      </w:r>
      <w:r>
        <w:rPr>
          <w:rFonts w:cs="Times New Roman" w:ascii="Times New Roman" w:hAnsi="Times New Roman"/>
          <w:sz w:val="24"/>
          <w:szCs w:val="24"/>
        </w:rPr>
        <w:t xml:space="preserve"> Ожидается стабильный рост потребления электроэнергии, обусловленный как увеличением числа потребителей, так и расширением спектра используемых электроприборов. При этом внедрение энергоэффективных технологий способно несколько сгладить темпы роста спроса.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Водоснабжение.</w:t>
      </w:r>
      <w:r>
        <w:rPr>
          <w:rFonts w:cs="Times New Roman" w:ascii="Times New Roman" w:hAnsi="Times New Roman"/>
          <w:sz w:val="24"/>
          <w:szCs w:val="24"/>
        </w:rPr>
        <w:t xml:space="preserve"> Прогнозируется увеличение спроса на воду, главным образом связанное с ростом численности населения и развитием социальной инфраструктуры. Важную роль будет играть реализация программ по рациональному использованию водных ресурсов.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Теплоснабжение.</w:t>
      </w:r>
      <w:r>
        <w:rPr>
          <w:rFonts w:cs="Times New Roman" w:ascii="Times New Roman" w:hAnsi="Times New Roman"/>
          <w:sz w:val="24"/>
          <w:szCs w:val="24"/>
        </w:rPr>
        <w:t xml:space="preserve"> В сфере теплоснабжения прогнозируется сохранение текущего уровня потребления с возможным незначительным ростом в связи с увеличением площади отапливаемых помещений. Ключевым фактором станет модернизация котельных и тепловых сетей, направленная на снижение потерь тепла.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bCs/>
          <w:sz w:val="24"/>
          <w:szCs w:val="24"/>
        </w:rPr>
        <w:t>Газоснабжение.</w:t>
      </w:r>
      <w:r>
        <w:rPr>
          <w:rFonts w:cs="Times New Roman" w:ascii="Times New Roman" w:hAnsi="Times New Roman"/>
          <w:sz w:val="24"/>
          <w:szCs w:val="24"/>
        </w:rPr>
        <w:t xml:space="preserve"> По газу ожидается стабильное потребление с тенденцией к повышению качества услуг. Развитие сети газопроводов и подключение новых потребителей будут способствовать более равномерному распределению нагрузки и повышению надёжности газоснабжения.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Факторы, способные повлиять на фактическое потребление.</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Следует учитывать, что фактическое потребление ресурсов может оказаться ниже расчётных показателей при условии реализации следующих мероприятий:</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повсеместное установление приборов учёта, позволяющих контролировать объёмы потребления и выявлять нерациональные траты;</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активное внедрение энергосберегающих технологий в жилищном секторе и на предприятиях;</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повышение культуры потребления среди населения, включая образовательные кампании и стимулирование экономного использования ресурсов.</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Контроль реализации прогноза.</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Для обеспечения достоверности прогноза и его адаптации к изменяющимся условиям предусмотрен регулярный мониторинг, включающий:</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анализ фактических объёмов потребления ресурсов с сопоставлением их с прогнозными значениями;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отслеживание показателей развития инфраструктуры — ввода новых объектов, модернизации существующих сетей и оборудования;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оценку эффективности реализованных мероприятий в сфере энергосбережения и повышения энергоэффективности;</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 корректировку программ развития при выявлении существенных отклонений или появлении новых факторов влияния.</w:t>
      </w:r>
    </w:p>
    <w:p>
      <w:pPr>
        <w:pStyle w:val="Normal"/>
        <w:spacing w:lineRule="auto" w:line="240" w:before="0" w:after="0"/>
        <w:ind w:firstLine="567" w:right="156"/>
        <w:jc w:val="both"/>
        <w:rPr>
          <w:rFonts w:ascii="Times New Roman" w:hAnsi="Times New Roman" w:cs="Times New Roman"/>
          <w:sz w:val="24"/>
          <w:szCs w:val="24"/>
        </w:rPr>
      </w:pPr>
      <w:r>
        <w:rPr>
          <w:rFonts w:cs="Times New Roman" w:ascii="Times New Roman" w:hAnsi="Times New Roman"/>
          <w:sz w:val="24"/>
          <w:szCs w:val="24"/>
        </w:rPr>
        <w:t>Таким образом, представленный прогноз является динамичным документом, который подлежит периодическому пересмотру и актуализации. Он служит надёжной основой для принятия управленческих решений в сфере развития коммунальной инфраструктуры Туркменского муниципального округа и способствует формированию сбалансированной и устойчивой системы жизнеобеспечения территории.</w:t>
      </w:r>
    </w:p>
    <w:p>
      <w:pPr>
        <w:pStyle w:val="Normal"/>
        <w:spacing w:lineRule="auto" w:line="240" w:before="0" w:after="0"/>
        <w:ind w:firstLine="567" w:right="156"/>
        <w:jc w:val="both"/>
        <w:rPr>
          <w:rFonts w:ascii="Times New Roman" w:hAnsi="Times New Roman" w:cs="Times New Roman"/>
          <w:bCs/>
          <w:sz w:val="24"/>
          <w:szCs w:val="24"/>
        </w:rPr>
      </w:pPr>
      <w:r>
        <w:rPr>
          <w:rFonts w:cs="Times New Roman" w:ascii="Times New Roman" w:hAnsi="Times New Roman"/>
          <w:sz w:val="24"/>
          <w:szCs w:val="24"/>
        </w:rPr>
        <w:t>2. Обоснование целевых показателей комплексного развития коммунальной инфраструктуры, а также мероприятий, входящих в план застройки Туркменского муниципального округа.</w:t>
      </w:r>
    </w:p>
    <w:p>
      <w:pPr>
        <w:pStyle w:val="Normal"/>
        <w:spacing w:lineRule="auto" w:line="240" w:before="0" w:after="0"/>
        <w:ind w:firstLine="567" w:right="115"/>
        <w:jc w:val="both"/>
        <w:rPr>
          <w:rFonts w:ascii="Times New Roman" w:hAnsi="Times New Roman" w:cs="Times New Roman"/>
          <w:sz w:val="24"/>
          <w:szCs w:val="24"/>
        </w:rPr>
      </w:pPr>
      <w:r>
        <w:rPr>
          <w:rFonts w:cs="Times New Roman" w:ascii="Times New Roman" w:hAnsi="Times New Roman"/>
          <w:sz w:val="24"/>
          <w:szCs w:val="24"/>
        </w:rPr>
        <w:t>Реформирование и модернизация систем коммунальной инфраструктуры с применением комплекса целевых показателей оцениваются по следующим результирующим параметрам, отражающимся в надежности обслуживания потребителей, и по изменению финансово-экономических и организационно-правовых характеристик.</w:t>
      </w:r>
    </w:p>
    <w:p>
      <w:pPr>
        <w:pStyle w:val="Normal"/>
        <w:tabs>
          <w:tab w:val="clear" w:pos="708"/>
          <w:tab w:val="left" w:pos="986" w:leader="none"/>
        </w:tabs>
        <w:spacing w:lineRule="auto" w:line="240" w:before="0" w:after="0"/>
        <w:ind w:firstLine="567" w:right="125"/>
        <w:jc w:val="both"/>
        <w:rPr>
          <w:rFonts w:ascii="Times New Roman" w:hAnsi="Times New Roman" w:cs="Times New Roman"/>
          <w:sz w:val="24"/>
          <w:szCs w:val="24"/>
        </w:rPr>
      </w:pPr>
      <w:r>
        <w:rPr>
          <w:rFonts w:cs="Times New Roman" w:ascii="Times New Roman" w:hAnsi="Times New Roman"/>
          <w:sz w:val="24"/>
          <w:szCs w:val="24"/>
        </w:rPr>
        <w:t>Техническое состояние объектов коммунальной инфраструктуры, в первую очередь - надежность их работы. Контроль и анализ этого параметра позволяет определить качество обслуживания, оценить достаточность усилий по реабилитации основных фондов. С учетом этой оценки определяется необходимый и достаточный уровень модернизации и основных фондов, замены изношенных сетей и оборудования. В результате может быть  определена потребность и оценена фактическая обеспеченность средствами на ремонт и модернизацию основных фондов в коммунальном комплексе.</w:t>
      </w:r>
    </w:p>
    <w:p>
      <w:pPr>
        <w:pStyle w:val="Normal"/>
        <w:tabs>
          <w:tab w:val="clear" w:pos="708"/>
          <w:tab w:val="left" w:pos="1266" w:leader="none"/>
        </w:tabs>
        <w:spacing w:lineRule="auto" w:line="240" w:before="0" w:after="0"/>
        <w:ind w:firstLine="567" w:right="120"/>
        <w:jc w:val="both"/>
        <w:rPr>
          <w:rFonts w:ascii="Times New Roman" w:hAnsi="Times New Roman" w:cs="Times New Roman"/>
          <w:sz w:val="24"/>
          <w:szCs w:val="24"/>
        </w:rPr>
      </w:pPr>
      <w:r>
        <w:rPr>
          <w:rFonts w:cs="Times New Roman" w:ascii="Times New Roman" w:hAnsi="Times New Roman"/>
          <w:sz w:val="24"/>
          <w:szCs w:val="24"/>
        </w:rPr>
        <w:t>Финансово-экономическое состояние организаций коммунального комплекса, уровень финансового обеспечения коммунального хозяйства, инвестиционный потенциал организаций коммунального комплекса. Организационно-правовые характеристики деятельности коммунального комплекса, позволяющие оценить сложившуюся систему управления, уровень институциональных преобразований, развитие договорных отношений.</w:t>
      </w:r>
    </w:p>
    <w:p>
      <w:pPr>
        <w:pStyle w:val="Normal"/>
        <w:spacing w:lineRule="auto" w:line="240" w:before="0" w:after="0"/>
        <w:ind w:firstLine="567" w:right="120"/>
        <w:jc w:val="both"/>
        <w:rPr>
          <w:rFonts w:ascii="Times New Roman" w:hAnsi="Times New Roman" w:cs="Times New Roman"/>
          <w:sz w:val="24"/>
          <w:szCs w:val="24"/>
        </w:rPr>
      </w:pPr>
      <w:r>
        <w:rPr>
          <w:rFonts w:cs="Times New Roman" w:ascii="Times New Roman" w:hAnsi="Times New Roman"/>
          <w:sz w:val="24"/>
          <w:szCs w:val="24"/>
        </w:rPr>
        <w:t>Целевые показатели анализируются по каждому виду коммунальных услуг периодически пересматриваются, и актуализируются. Расчет значений целевых показателей разработан на базе обобщения, анализа и корректировки фактических данных по системам коммунального комплекса Туркменского муниципального округа и приведены в таблице 31.</w:t>
      </w:r>
    </w:p>
    <w:p>
      <w:pPr>
        <w:pStyle w:val="Normal"/>
        <w:spacing w:lineRule="auto" w:line="240" w:before="0" w:after="0"/>
        <w:ind w:firstLine="567" w:right="120"/>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ind w:firstLine="567" w:right="118"/>
        <w:jc w:val="right"/>
        <w:rPr>
          <w:rFonts w:ascii="Times New Roman" w:hAnsi="Times New Roman" w:cs="Times New Roman"/>
          <w:sz w:val="24"/>
          <w:szCs w:val="24"/>
        </w:rPr>
      </w:pPr>
      <w:r>
        <w:rPr>
          <w:rFonts w:cs="Times New Roman" w:ascii="Times New Roman" w:hAnsi="Times New Roman"/>
          <w:sz w:val="24"/>
          <w:szCs w:val="24"/>
        </w:rPr>
        <w:t>Таблица 31.</w:t>
      </w:r>
    </w:p>
    <w:tbl>
      <w:tblPr>
        <w:tblW w:w="9377" w:type="dxa"/>
        <w:jc w:val="left"/>
        <w:tblInd w:w="146" w:type="dxa"/>
        <w:tblLayout w:type="fixed"/>
        <w:tblCellMar>
          <w:top w:w="0" w:type="dxa"/>
          <w:left w:w="5" w:type="dxa"/>
          <w:bottom w:w="0" w:type="dxa"/>
          <w:right w:w="5" w:type="dxa"/>
        </w:tblCellMar>
        <w:tblLook w:val="04a0"/>
      </w:tblPr>
      <w:tblGrid>
        <w:gridCol w:w="556"/>
        <w:gridCol w:w="3854"/>
        <w:gridCol w:w="4967"/>
      </w:tblGrid>
      <w:tr>
        <w:trPr>
          <w:trHeight w:val="353"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0"/>
              <w:jc w:val="center"/>
              <w:rPr>
                <w:rFonts w:ascii="Times New Roman" w:hAnsi="Times New Roman" w:cs="Times New Roman"/>
                <w:spacing w:val="-10"/>
                <w:sz w:val="20"/>
                <w:szCs w:val="20"/>
              </w:rPr>
            </w:pPr>
            <w:r>
              <w:rPr>
                <w:rFonts w:cs="Times New Roman" w:ascii="Times New Roman" w:hAnsi="Times New Roman"/>
                <w:spacing w:val="-10"/>
                <w:sz w:val="20"/>
                <w:szCs w:val="20"/>
              </w:rPr>
              <w:t>№</w:t>
            </w:r>
          </w:p>
          <w:p>
            <w:pPr>
              <w:pStyle w:val="Normal"/>
              <w:spacing w:lineRule="auto" w:line="240" w:before="0" w:after="0"/>
              <w:ind w:right="70"/>
              <w:jc w:val="center"/>
              <w:rPr>
                <w:rFonts w:ascii="Times New Roman" w:hAnsi="Times New Roman" w:cs="Times New Roman"/>
                <w:spacing w:val="-4"/>
                <w:sz w:val="20"/>
                <w:szCs w:val="20"/>
              </w:rPr>
            </w:pPr>
            <w:r>
              <w:rPr>
                <w:rFonts w:cs="Times New Roman" w:ascii="Times New Roman" w:hAnsi="Times New Roman"/>
                <w:spacing w:val="-4"/>
                <w:sz w:val="20"/>
                <w:szCs w:val="20"/>
              </w:rPr>
              <w:t>п/п</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86" w:right="58"/>
              <w:jc w:val="center"/>
              <w:rPr>
                <w:rFonts w:ascii="Times New Roman" w:hAnsi="Times New Roman" w:cs="Times New Roman"/>
                <w:spacing w:val="-2"/>
                <w:sz w:val="20"/>
                <w:szCs w:val="20"/>
              </w:rPr>
            </w:pPr>
            <w:r>
              <w:rPr>
                <w:rFonts w:cs="Times New Roman" w:ascii="Times New Roman" w:hAnsi="Times New Roman"/>
                <w:sz w:val="20"/>
                <w:szCs w:val="20"/>
              </w:rPr>
              <w:t xml:space="preserve">Целевые показатели развития систем коммунальной </w:t>
            </w:r>
            <w:r>
              <w:rPr>
                <w:rFonts w:cs="Times New Roman" w:ascii="Times New Roman" w:hAnsi="Times New Roman"/>
                <w:spacing w:val="-2"/>
                <w:sz w:val="20"/>
                <w:szCs w:val="20"/>
              </w:rPr>
              <w:t>инфраструктуры</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264" w:left="1260"/>
              <w:jc w:val="center"/>
              <w:rPr>
                <w:rFonts w:ascii="Times New Roman" w:hAnsi="Times New Roman" w:cs="Times New Roman"/>
                <w:sz w:val="20"/>
                <w:szCs w:val="20"/>
              </w:rPr>
            </w:pPr>
            <w:r>
              <w:rPr>
                <w:rFonts w:cs="Times New Roman" w:ascii="Times New Roman" w:hAnsi="Times New Roman"/>
                <w:sz w:val="20"/>
                <w:szCs w:val="20"/>
              </w:rPr>
              <w:t>Механизм расчета показателя</w:t>
            </w:r>
          </w:p>
        </w:tc>
      </w:tr>
      <w:tr>
        <w:trPr>
          <w:trHeight w:val="345"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1</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jc w:val="both"/>
              <w:rPr>
                <w:rFonts w:ascii="Times New Roman" w:hAnsi="Times New Roman" w:cs="Times New Roman"/>
                <w:sz w:val="20"/>
                <w:szCs w:val="20"/>
              </w:rPr>
            </w:pPr>
            <w:r>
              <w:rPr>
                <w:rFonts w:cs="Times New Roman" w:ascii="Times New Roman" w:hAnsi="Times New Roman"/>
                <w:sz w:val="20"/>
                <w:szCs w:val="20"/>
              </w:rPr>
              <w:t>Доступность услуги (обеспеченность) для населения</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 w:right="280"/>
              <w:jc w:val="both"/>
              <w:rPr>
                <w:rFonts w:ascii="Times New Roman" w:hAnsi="Times New Roman" w:cs="Times New Roman"/>
                <w:spacing w:val="-2"/>
                <w:sz w:val="20"/>
                <w:szCs w:val="20"/>
              </w:rPr>
            </w:pPr>
            <w:r>
              <w:rPr>
                <w:rFonts w:cs="Times New Roman" w:ascii="Times New Roman" w:hAnsi="Times New Roman"/>
                <w:sz w:val="20"/>
                <w:szCs w:val="20"/>
              </w:rPr>
              <w:t xml:space="preserve">Отношение численности населения, получающие услуги, к численности населения фактической или </w:t>
            </w:r>
            <w:r>
              <w:rPr>
                <w:rFonts w:cs="Times New Roman" w:ascii="Times New Roman" w:hAnsi="Times New Roman"/>
                <w:spacing w:val="-2"/>
                <w:sz w:val="20"/>
                <w:szCs w:val="20"/>
              </w:rPr>
              <w:t>прогнозируемой</w:t>
            </w:r>
          </w:p>
        </w:tc>
      </w:tr>
      <w:tr>
        <w:trPr>
          <w:trHeight w:val="492"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2</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2" w:right="65"/>
              <w:jc w:val="both"/>
              <w:rPr>
                <w:rFonts w:ascii="Times New Roman" w:hAnsi="Times New Roman" w:cs="Times New Roman"/>
                <w:sz w:val="20"/>
                <w:szCs w:val="20"/>
              </w:rPr>
            </w:pPr>
            <w:r>
              <w:rPr>
                <w:rFonts w:cs="Times New Roman" w:ascii="Times New Roman" w:hAnsi="Times New Roman"/>
                <w:sz w:val="20"/>
                <w:szCs w:val="20"/>
              </w:rPr>
              <w:t>Спрос на коммунальные ресурсы</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2" w:right="245"/>
              <w:jc w:val="both"/>
              <w:rPr>
                <w:rFonts w:ascii="Times New Roman" w:hAnsi="Times New Roman" w:cs="Times New Roman"/>
                <w:sz w:val="20"/>
                <w:szCs w:val="20"/>
              </w:rPr>
            </w:pPr>
            <w:r>
              <w:rPr>
                <w:rFonts w:cs="Times New Roman" w:ascii="Times New Roman" w:hAnsi="Times New Roman"/>
                <w:sz w:val="20"/>
                <w:szCs w:val="20"/>
              </w:rPr>
              <w:t>Произведение нормативного потребления данного вида ресурса на фактическую или прогнозируемую численность населения</w:t>
            </w:r>
          </w:p>
        </w:tc>
      </w:tr>
      <w:tr>
        <w:trPr>
          <w:trHeight w:val="416"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3</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ight="708"/>
              <w:jc w:val="both"/>
              <w:rPr>
                <w:rFonts w:ascii="Times New Roman" w:hAnsi="Times New Roman" w:cs="Times New Roman"/>
                <w:sz w:val="20"/>
                <w:szCs w:val="20"/>
              </w:rPr>
            </w:pPr>
            <w:r>
              <w:rPr>
                <w:rFonts w:cs="Times New Roman" w:ascii="Times New Roman" w:hAnsi="Times New Roman"/>
                <w:sz w:val="20"/>
                <w:szCs w:val="20"/>
              </w:rPr>
              <w:t>Показатели эффективности производства (потери), %</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8"/>
              <w:jc w:val="both"/>
              <w:rPr>
                <w:rFonts w:ascii="Times New Roman" w:hAnsi="Times New Roman" w:cs="Times New Roman"/>
                <w:sz w:val="20"/>
                <w:szCs w:val="20"/>
              </w:rPr>
            </w:pPr>
            <w:r>
              <w:rPr>
                <w:rFonts w:cs="Times New Roman" w:ascii="Times New Roman" w:hAnsi="Times New Roman"/>
                <w:sz w:val="20"/>
                <w:szCs w:val="20"/>
              </w:rPr>
              <w:t>Отношение объема потерь к объему отпуска данного вида ресурса</w:t>
            </w:r>
          </w:p>
        </w:tc>
      </w:tr>
      <w:tr>
        <w:trPr>
          <w:trHeight w:val="281"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4</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86" w:right="65"/>
              <w:jc w:val="both"/>
              <w:rPr>
                <w:rFonts w:ascii="Times New Roman" w:hAnsi="Times New Roman" w:cs="Times New Roman"/>
                <w:sz w:val="20"/>
                <w:szCs w:val="20"/>
              </w:rPr>
            </w:pPr>
            <w:r>
              <w:rPr>
                <w:rFonts w:cs="Times New Roman" w:ascii="Times New Roman" w:hAnsi="Times New Roman"/>
                <w:sz w:val="20"/>
                <w:szCs w:val="20"/>
              </w:rPr>
              <w:t>Показатели надежности, ед. в год</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8"/>
              <w:jc w:val="both"/>
              <w:rPr>
                <w:rFonts w:ascii="Times New Roman" w:hAnsi="Times New Roman" w:cs="Times New Roman"/>
                <w:spacing w:val="-2"/>
                <w:sz w:val="20"/>
                <w:szCs w:val="20"/>
              </w:rPr>
            </w:pPr>
            <w:r>
              <w:rPr>
                <w:rFonts w:cs="Times New Roman" w:ascii="Times New Roman" w:hAnsi="Times New Roman"/>
                <w:sz w:val="20"/>
                <w:szCs w:val="20"/>
              </w:rPr>
              <w:t xml:space="preserve">Количество аварий в системах коммунальной </w:t>
            </w:r>
            <w:r>
              <w:rPr>
                <w:rFonts w:cs="Times New Roman" w:ascii="Times New Roman" w:hAnsi="Times New Roman"/>
                <w:spacing w:val="-2"/>
                <w:sz w:val="20"/>
                <w:szCs w:val="20"/>
              </w:rPr>
              <w:t>инфраструктуры</w:t>
            </w:r>
          </w:p>
        </w:tc>
      </w:tr>
      <w:tr>
        <w:trPr>
          <w:trHeight w:val="852"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5</w:t>
            </w:r>
          </w:p>
        </w:tc>
        <w:tc>
          <w:tcPr>
            <w:tcW w:w="38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ight="784"/>
              <w:jc w:val="both"/>
              <w:rPr>
                <w:rFonts w:ascii="Times New Roman" w:hAnsi="Times New Roman" w:cs="Times New Roman"/>
                <w:sz w:val="20"/>
                <w:szCs w:val="20"/>
              </w:rPr>
            </w:pPr>
            <w:r>
              <w:rPr>
                <w:rFonts w:cs="Times New Roman" w:ascii="Times New Roman" w:hAnsi="Times New Roman"/>
                <w:sz w:val="20"/>
                <w:szCs w:val="20"/>
              </w:rPr>
              <w:t>Показатель экологичности производства ресурсов</w:t>
            </w:r>
          </w:p>
        </w:tc>
        <w:tc>
          <w:tcPr>
            <w:tcW w:w="49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76"/>
              <w:jc w:val="both"/>
              <w:rPr>
                <w:rFonts w:ascii="Times New Roman" w:hAnsi="Times New Roman" w:cs="Times New Roman"/>
                <w:sz w:val="20"/>
                <w:szCs w:val="20"/>
              </w:rPr>
            </w:pPr>
            <w:r>
              <w:rPr>
                <w:rFonts w:cs="Times New Roman" w:ascii="Times New Roman" w:hAnsi="Times New Roman"/>
                <w:sz w:val="20"/>
                <w:szCs w:val="20"/>
              </w:rPr>
              <w:t>В связи с отсутствием промышленных предприятий, показатель будет рассчитан только для ТКО, исходя из количества несанкционированных свалок до реализации и после реализации программы</w:t>
            </w:r>
          </w:p>
        </w:tc>
      </w:tr>
    </w:tbl>
    <w:p>
      <w:pPr>
        <w:pStyle w:val="Normal"/>
        <w:spacing w:lineRule="auto" w:line="240" w:before="0" w:after="0"/>
        <w:ind w:hanging="3255" w:left="3642"/>
        <w:jc w:val="right"/>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hanging="3255" w:left="3642"/>
        <w:jc w:val="right"/>
        <w:rPr>
          <w:rFonts w:ascii="Times New Roman" w:hAnsi="Times New Roman" w:cs="Times New Roman"/>
          <w:sz w:val="24"/>
          <w:szCs w:val="28"/>
        </w:rPr>
      </w:pPr>
      <w:r>
        <w:rPr>
          <w:rFonts w:cs="Times New Roman" w:ascii="Times New Roman" w:hAnsi="Times New Roman"/>
          <w:sz w:val="24"/>
          <w:szCs w:val="28"/>
        </w:rPr>
        <w:t>Таблица 32.</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Мероприятия систем коммунальной инфраструктуры и ожидаемые эффекты от их реализации</w:t>
      </w:r>
    </w:p>
    <w:p>
      <w:pPr>
        <w:pStyle w:val="Normal"/>
        <w:spacing w:lineRule="auto" w:line="240" w:before="2" w:after="0"/>
        <w:rPr>
          <w:rFonts w:ascii="Times New Roman" w:hAnsi="Times New Roman" w:cs="Times New Roman"/>
          <w:sz w:val="2"/>
          <w:szCs w:val="2"/>
        </w:rPr>
      </w:pPr>
      <w:r>
        <w:rPr>
          <w:rFonts w:cs="Times New Roman" w:ascii="Times New Roman" w:hAnsi="Times New Roman"/>
          <w:sz w:val="2"/>
          <w:szCs w:val="2"/>
        </w:rPr>
      </w:r>
    </w:p>
    <w:tbl>
      <w:tblPr>
        <w:tblW w:w="9377" w:type="dxa"/>
        <w:jc w:val="left"/>
        <w:tblInd w:w="146" w:type="dxa"/>
        <w:tblLayout w:type="fixed"/>
        <w:tblCellMar>
          <w:top w:w="0" w:type="dxa"/>
          <w:left w:w="5" w:type="dxa"/>
          <w:bottom w:w="0" w:type="dxa"/>
          <w:right w:w="5" w:type="dxa"/>
        </w:tblCellMar>
        <w:tblLook w:val="04a0"/>
      </w:tblPr>
      <w:tblGrid>
        <w:gridCol w:w="556"/>
        <w:gridCol w:w="3658"/>
        <w:gridCol w:w="5163"/>
      </w:tblGrid>
      <w:tr>
        <w:trPr>
          <w:trHeight w:val="536"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50" w:left="107" w:right="70"/>
              <w:rPr>
                <w:rFonts w:ascii="Times New Roman" w:hAnsi="Times New Roman" w:cs="Times New Roman"/>
                <w:spacing w:val="-4"/>
                <w:sz w:val="20"/>
                <w:szCs w:val="20"/>
              </w:rPr>
            </w:pPr>
            <w:r>
              <w:rPr>
                <w:rFonts w:cs="Times New Roman" w:ascii="Times New Roman" w:hAnsi="Times New Roman"/>
                <w:spacing w:val="-10"/>
                <w:sz w:val="20"/>
                <w:szCs w:val="20"/>
              </w:rPr>
              <w:t xml:space="preserve">№ </w:t>
            </w:r>
            <w:r>
              <w:rPr>
                <w:rFonts w:cs="Times New Roman" w:ascii="Times New Roman" w:hAnsi="Times New Roman"/>
                <w:spacing w:val="-4"/>
                <w:sz w:val="20"/>
                <w:szCs w:val="20"/>
              </w:rPr>
              <w:t>п/п</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94" w:right="265"/>
              <w:jc w:val="center"/>
              <w:rPr>
                <w:rFonts w:ascii="Times New Roman" w:hAnsi="Times New Roman" w:cs="Times New Roman"/>
                <w:spacing w:val="-2"/>
                <w:sz w:val="20"/>
                <w:szCs w:val="20"/>
              </w:rPr>
            </w:pPr>
            <w:r>
              <w:rPr>
                <w:rFonts w:cs="Times New Roman" w:ascii="Times New Roman" w:hAnsi="Times New Roman"/>
                <w:sz w:val="20"/>
                <w:szCs w:val="20"/>
              </w:rPr>
              <w:t xml:space="preserve">Система коммунальной инфраструктуры, в которой будет реализовано </w:t>
            </w:r>
            <w:r>
              <w:rPr>
                <w:rFonts w:cs="Times New Roman" w:ascii="Times New Roman" w:hAnsi="Times New Roman"/>
                <w:spacing w:val="-2"/>
                <w:sz w:val="20"/>
                <w:szCs w:val="20"/>
              </w:rPr>
              <w:t>мероприятие</w:t>
            </w:r>
          </w:p>
        </w:tc>
        <w:tc>
          <w:tcPr>
            <w:tcW w:w="51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61"/>
              <w:jc w:val="center"/>
              <w:rPr>
                <w:rFonts w:ascii="Times New Roman" w:hAnsi="Times New Roman" w:cs="Times New Roman"/>
                <w:sz w:val="20"/>
                <w:szCs w:val="20"/>
              </w:rPr>
            </w:pPr>
            <w:r>
              <w:rPr>
                <w:rFonts w:cs="Times New Roman" w:ascii="Times New Roman" w:hAnsi="Times New Roman"/>
                <w:sz w:val="20"/>
                <w:szCs w:val="20"/>
              </w:rPr>
              <w:t>Ожидаемые эффекты от реализации мероприятий</w:t>
            </w:r>
          </w:p>
        </w:tc>
      </w:tr>
      <w:tr>
        <w:trPr>
          <w:trHeight w:val="1125"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1</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3"/>
              <w:rPr>
                <w:rFonts w:ascii="Times New Roman" w:hAnsi="Times New Roman" w:cs="Times New Roman"/>
                <w:spacing w:val="-2"/>
                <w:sz w:val="20"/>
                <w:szCs w:val="20"/>
              </w:rPr>
            </w:pPr>
            <w:r>
              <w:rPr>
                <w:rFonts w:cs="Times New Roman" w:ascii="Times New Roman" w:hAnsi="Times New Roman"/>
                <w:spacing w:val="-2"/>
                <w:sz w:val="20"/>
                <w:szCs w:val="20"/>
              </w:rPr>
              <w:t>Водоснабжение</w:t>
            </w:r>
          </w:p>
        </w:tc>
        <w:tc>
          <w:tcPr>
            <w:tcW w:w="516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48" w:leader="none"/>
              </w:tabs>
              <w:spacing w:lineRule="auto" w:line="240" w:before="0" w:after="0"/>
              <w:ind w:hanging="43" w:left="108" w:right="134"/>
              <w:jc w:val="both"/>
              <w:rPr>
                <w:rFonts w:ascii="Times New Roman" w:hAnsi="Times New Roman" w:cs="Times New Roman"/>
                <w:sz w:val="20"/>
                <w:szCs w:val="20"/>
              </w:rPr>
            </w:pPr>
            <w:r>
              <w:rPr>
                <w:rFonts w:cs="Times New Roman" w:ascii="Times New Roman" w:hAnsi="Times New Roman"/>
                <w:sz w:val="20"/>
                <w:szCs w:val="20"/>
              </w:rPr>
              <w:t>обеспечение надежной и бесперебойной подачи воды питьевого качества потребителям;</w:t>
            </w:r>
          </w:p>
          <w:p>
            <w:pPr>
              <w:pStyle w:val="Normal"/>
              <w:tabs>
                <w:tab w:val="clear" w:pos="708"/>
                <w:tab w:val="left" w:pos="248" w:leader="none"/>
                <w:tab w:val="left" w:pos="308" w:leader="none"/>
              </w:tabs>
              <w:spacing w:lineRule="auto" w:line="240" w:before="0" w:after="0"/>
              <w:ind w:hanging="43" w:left="108" w:right="134"/>
              <w:jc w:val="both"/>
              <w:rPr>
                <w:rFonts w:ascii="Times New Roman" w:hAnsi="Times New Roman" w:cs="Times New Roman"/>
                <w:spacing w:val="-2"/>
                <w:sz w:val="20"/>
                <w:szCs w:val="20"/>
              </w:rPr>
            </w:pPr>
            <w:r>
              <w:rPr>
                <w:rFonts w:cs="Times New Roman" w:ascii="Times New Roman" w:hAnsi="Times New Roman"/>
                <w:sz w:val="20"/>
                <w:szCs w:val="20"/>
              </w:rPr>
              <w:t>максимальное сокращение</w:t>
            </w:r>
            <w:r>
              <w:rPr>
                <w:rFonts w:cs="Times New Roman" w:ascii="Times New Roman" w:hAnsi="Times New Roman"/>
                <w:spacing w:val="-15"/>
                <w:sz w:val="20"/>
                <w:szCs w:val="20"/>
              </w:rPr>
              <w:t xml:space="preserve"> э</w:t>
            </w:r>
            <w:r>
              <w:rPr>
                <w:rFonts w:cs="Times New Roman" w:ascii="Times New Roman" w:hAnsi="Times New Roman"/>
                <w:sz w:val="20"/>
                <w:szCs w:val="20"/>
              </w:rPr>
              <w:t xml:space="preserve">ксплуатационных </w:t>
            </w:r>
            <w:r>
              <w:rPr>
                <w:rFonts w:cs="Times New Roman" w:ascii="Times New Roman" w:hAnsi="Times New Roman"/>
                <w:spacing w:val="-2"/>
                <w:sz w:val="20"/>
                <w:szCs w:val="20"/>
              </w:rPr>
              <w:t>затрат;</w:t>
            </w:r>
          </w:p>
          <w:p>
            <w:pPr>
              <w:pStyle w:val="Normal"/>
              <w:tabs>
                <w:tab w:val="clear" w:pos="708"/>
                <w:tab w:val="left" w:pos="248" w:leader="none"/>
                <w:tab w:val="left" w:pos="308" w:leader="none"/>
              </w:tabs>
              <w:spacing w:lineRule="auto" w:line="240" w:before="0" w:after="0"/>
              <w:ind w:hanging="43" w:left="108" w:right="134"/>
              <w:jc w:val="both"/>
              <w:rPr>
                <w:rFonts w:ascii="Times New Roman" w:hAnsi="Times New Roman" w:cs="Times New Roman"/>
                <w:sz w:val="20"/>
                <w:szCs w:val="20"/>
              </w:rPr>
            </w:pPr>
            <w:r>
              <w:rPr>
                <w:rFonts w:cs="Times New Roman" w:ascii="Times New Roman" w:hAnsi="Times New Roman"/>
                <w:sz w:val="20"/>
                <w:szCs w:val="20"/>
              </w:rPr>
              <w:t>устойчивость системы водоснабжения при чрезвычайных ситуациях.</w:t>
            </w:r>
          </w:p>
        </w:tc>
      </w:tr>
      <w:tr>
        <w:trPr>
          <w:trHeight w:val="416"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2</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3"/>
              <w:rPr>
                <w:rFonts w:ascii="Times New Roman" w:hAnsi="Times New Roman" w:cs="Times New Roman"/>
                <w:spacing w:val="-2"/>
                <w:sz w:val="20"/>
                <w:szCs w:val="20"/>
              </w:rPr>
            </w:pPr>
            <w:r>
              <w:rPr>
                <w:rFonts w:cs="Times New Roman" w:ascii="Times New Roman" w:hAnsi="Times New Roman"/>
                <w:spacing w:val="-2"/>
                <w:sz w:val="20"/>
                <w:szCs w:val="20"/>
              </w:rPr>
              <w:t>Водоотведение</w:t>
            </w:r>
          </w:p>
        </w:tc>
        <w:tc>
          <w:tcPr>
            <w:tcW w:w="516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48" w:leader="none"/>
              </w:tabs>
              <w:spacing w:lineRule="auto" w:line="240" w:before="0" w:after="0"/>
              <w:ind w:hanging="43" w:left="108"/>
              <w:rPr>
                <w:rFonts w:ascii="Times New Roman" w:hAnsi="Times New Roman" w:cs="Times New Roman"/>
                <w:sz w:val="20"/>
                <w:szCs w:val="20"/>
              </w:rPr>
            </w:pPr>
            <w:r>
              <w:rPr>
                <w:rFonts w:cs="Times New Roman" w:ascii="Times New Roman" w:hAnsi="Times New Roman"/>
                <w:sz w:val="20"/>
                <w:szCs w:val="20"/>
              </w:rPr>
              <w:t>обеспечение надежной системы водоотведения;</w:t>
            </w:r>
          </w:p>
          <w:p>
            <w:pPr>
              <w:pStyle w:val="Normal"/>
              <w:tabs>
                <w:tab w:val="clear" w:pos="708"/>
                <w:tab w:val="left" w:pos="308" w:leader="none"/>
              </w:tabs>
              <w:spacing w:lineRule="auto" w:line="240" w:before="0" w:after="0"/>
              <w:ind w:hanging="43" w:left="108" w:right="332"/>
              <w:rPr>
                <w:rFonts w:ascii="Times New Roman" w:hAnsi="Times New Roman" w:cs="Times New Roman"/>
                <w:spacing w:val="-2"/>
                <w:sz w:val="20"/>
                <w:szCs w:val="20"/>
              </w:rPr>
            </w:pPr>
            <w:r>
              <w:rPr>
                <w:rFonts w:cs="Times New Roman" w:ascii="Times New Roman" w:hAnsi="Times New Roman"/>
                <w:sz w:val="20"/>
                <w:szCs w:val="20"/>
              </w:rPr>
              <w:t xml:space="preserve">доведения качества сточных вод до нормативного </w:t>
            </w:r>
            <w:r>
              <w:rPr>
                <w:rFonts w:cs="Times New Roman" w:ascii="Times New Roman" w:hAnsi="Times New Roman"/>
                <w:spacing w:val="-2"/>
                <w:sz w:val="20"/>
                <w:szCs w:val="20"/>
              </w:rPr>
              <w:t>качества.</w:t>
            </w:r>
          </w:p>
        </w:tc>
      </w:tr>
      <w:tr>
        <w:trPr>
          <w:trHeight w:val="988"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3</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53"/>
              <w:rPr>
                <w:rFonts w:ascii="Times New Roman" w:hAnsi="Times New Roman" w:cs="Times New Roman"/>
                <w:spacing w:val="-2"/>
                <w:sz w:val="20"/>
                <w:szCs w:val="20"/>
              </w:rPr>
            </w:pPr>
            <w:r>
              <w:rPr>
                <w:rFonts w:cs="Times New Roman" w:ascii="Times New Roman" w:hAnsi="Times New Roman"/>
                <w:spacing w:val="-2"/>
                <w:sz w:val="20"/>
                <w:szCs w:val="20"/>
              </w:rPr>
              <w:t>Теплоснабжение</w:t>
            </w:r>
          </w:p>
        </w:tc>
        <w:tc>
          <w:tcPr>
            <w:tcW w:w="516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48" w:leader="none"/>
              </w:tabs>
              <w:spacing w:lineRule="auto" w:line="240" w:before="0" w:after="0"/>
              <w:ind w:hanging="43" w:left="108"/>
              <w:rPr>
                <w:rFonts w:ascii="Times New Roman" w:hAnsi="Times New Roman" w:cs="Times New Roman"/>
                <w:sz w:val="20"/>
                <w:szCs w:val="20"/>
              </w:rPr>
            </w:pPr>
            <w:r>
              <w:rPr>
                <w:rFonts w:cs="Times New Roman" w:ascii="Times New Roman" w:hAnsi="Times New Roman"/>
                <w:sz w:val="20"/>
                <w:szCs w:val="20"/>
              </w:rPr>
              <w:t>обеспечение надежной и бесперебойной подачи тепла потребителям;</w:t>
            </w:r>
          </w:p>
          <w:p>
            <w:pPr>
              <w:pStyle w:val="Normal"/>
              <w:tabs>
                <w:tab w:val="clear" w:pos="708"/>
                <w:tab w:val="left" w:pos="308" w:leader="none"/>
              </w:tabs>
              <w:spacing w:lineRule="auto" w:line="240" w:before="0" w:after="0"/>
              <w:ind w:hanging="43" w:left="108"/>
              <w:rPr>
                <w:rFonts w:ascii="Times New Roman" w:hAnsi="Times New Roman" w:cs="Times New Roman"/>
                <w:spacing w:val="-2"/>
                <w:sz w:val="20"/>
                <w:szCs w:val="20"/>
              </w:rPr>
            </w:pPr>
            <w:r>
              <w:rPr>
                <w:rFonts w:cs="Times New Roman" w:ascii="Times New Roman" w:hAnsi="Times New Roman"/>
                <w:sz w:val="20"/>
                <w:szCs w:val="20"/>
              </w:rPr>
              <w:t xml:space="preserve">максимальное сокращение эксплуатационных </w:t>
            </w:r>
            <w:r>
              <w:rPr>
                <w:rFonts w:cs="Times New Roman" w:ascii="Times New Roman" w:hAnsi="Times New Roman"/>
                <w:spacing w:val="-2"/>
                <w:sz w:val="20"/>
                <w:szCs w:val="20"/>
              </w:rPr>
              <w:t>затрат;</w:t>
            </w:r>
          </w:p>
          <w:p>
            <w:pPr>
              <w:pStyle w:val="Normal"/>
              <w:tabs>
                <w:tab w:val="clear" w:pos="708"/>
                <w:tab w:val="left" w:pos="308" w:leader="none"/>
              </w:tabs>
              <w:spacing w:lineRule="auto" w:line="240" w:before="0" w:after="0"/>
              <w:ind w:hanging="43" w:left="108"/>
              <w:rPr>
                <w:rFonts w:ascii="Times New Roman" w:hAnsi="Times New Roman" w:cs="Times New Roman"/>
                <w:sz w:val="20"/>
                <w:szCs w:val="20"/>
              </w:rPr>
            </w:pPr>
            <w:r>
              <w:rPr>
                <w:rFonts w:cs="Times New Roman" w:ascii="Times New Roman" w:hAnsi="Times New Roman"/>
                <w:sz w:val="20"/>
                <w:szCs w:val="20"/>
              </w:rPr>
              <w:t>устойчивость и системы теплоснабжения при чрезвычайных ситуациях.</w:t>
            </w:r>
          </w:p>
        </w:tc>
      </w:tr>
      <w:tr>
        <w:trPr>
          <w:trHeight w:val="506"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4</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pacing w:val="-2"/>
                <w:sz w:val="20"/>
                <w:szCs w:val="20"/>
              </w:rPr>
              <w:t>Электроснабжение</w:t>
            </w:r>
          </w:p>
        </w:tc>
        <w:tc>
          <w:tcPr>
            <w:tcW w:w="51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43" w:left="108"/>
              <w:rPr>
                <w:rFonts w:ascii="Times New Roman" w:hAnsi="Times New Roman" w:cs="Times New Roman"/>
                <w:spacing w:val="-2"/>
                <w:sz w:val="20"/>
                <w:szCs w:val="20"/>
              </w:rPr>
            </w:pPr>
            <w:r>
              <w:rPr>
                <w:rFonts w:cs="Times New Roman" w:ascii="Times New Roman" w:hAnsi="Times New Roman"/>
                <w:sz w:val="20"/>
                <w:szCs w:val="20"/>
              </w:rPr>
              <w:t xml:space="preserve">-обеспечение надежной и бесперебойной подачи </w:t>
            </w:r>
            <w:r>
              <w:rPr>
                <w:rFonts w:cs="Times New Roman" w:ascii="Times New Roman" w:hAnsi="Times New Roman"/>
                <w:spacing w:val="-2"/>
                <w:sz w:val="20"/>
                <w:szCs w:val="20"/>
              </w:rPr>
              <w:t>электроснабжения;</w:t>
            </w:r>
          </w:p>
          <w:p>
            <w:pPr>
              <w:pStyle w:val="Normal"/>
              <w:spacing w:lineRule="auto" w:line="240" w:before="0" w:after="0"/>
              <w:ind w:hanging="43" w:left="108"/>
              <w:rPr>
                <w:rFonts w:ascii="Times New Roman" w:hAnsi="Times New Roman" w:cs="Times New Roman"/>
                <w:sz w:val="20"/>
                <w:szCs w:val="20"/>
              </w:rPr>
            </w:pPr>
            <w:r>
              <w:rPr>
                <w:rFonts w:cs="Times New Roman" w:ascii="Times New Roman" w:hAnsi="Times New Roman"/>
                <w:sz w:val="20"/>
                <w:szCs w:val="20"/>
              </w:rPr>
              <w:t>-максимальное сокращение потерь при передаче</w:t>
            </w:r>
          </w:p>
        </w:tc>
      </w:tr>
      <w:tr>
        <w:trPr>
          <w:trHeight w:val="274"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188"/>
              <w:jc w:val="right"/>
              <w:rPr>
                <w:rFonts w:ascii="Times New Roman" w:hAnsi="Times New Roman" w:cs="Times New Roman"/>
                <w:sz w:val="20"/>
                <w:szCs w:val="20"/>
              </w:rPr>
            </w:pPr>
            <w:r>
              <w:rPr>
                <w:rFonts w:cs="Times New Roman" w:ascii="Times New Roman" w:hAnsi="Times New Roman"/>
                <w:sz w:val="20"/>
                <w:szCs w:val="20"/>
              </w:rPr>
              <w:t>5</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pacing w:val="-2"/>
                <w:sz w:val="20"/>
                <w:szCs w:val="20"/>
              </w:rPr>
              <w:t>Газоснабжение</w:t>
            </w:r>
          </w:p>
        </w:tc>
        <w:tc>
          <w:tcPr>
            <w:tcW w:w="51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
              <w:rPr>
                <w:rFonts w:ascii="Times New Roman" w:hAnsi="Times New Roman" w:cs="Times New Roman"/>
                <w:sz w:val="20"/>
                <w:szCs w:val="20"/>
              </w:rPr>
            </w:pPr>
            <w:r>
              <w:rPr>
                <w:rFonts w:cs="Times New Roman" w:ascii="Times New Roman" w:hAnsi="Times New Roman"/>
                <w:sz w:val="20"/>
                <w:szCs w:val="20"/>
              </w:rPr>
              <w:t>-присоединение новых абонентов</w:t>
            </w:r>
          </w:p>
        </w:tc>
      </w:tr>
      <w:tr>
        <w:trPr>
          <w:trHeight w:val="435"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right="188"/>
              <w:jc w:val="right"/>
              <w:rPr>
                <w:rFonts w:ascii="Times New Roman" w:hAnsi="Times New Roman" w:cs="Times New Roman"/>
                <w:sz w:val="20"/>
                <w:szCs w:val="20"/>
              </w:rPr>
            </w:pPr>
            <w:r>
              <w:rPr>
                <w:rFonts w:cs="Times New Roman" w:ascii="Times New Roman" w:hAnsi="Times New Roman"/>
                <w:sz w:val="20"/>
                <w:szCs w:val="20"/>
              </w:rPr>
              <w:t>6</w:t>
            </w:r>
          </w:p>
        </w:tc>
        <w:tc>
          <w:tcPr>
            <w:tcW w:w="3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07"/>
              <w:rPr>
                <w:rFonts w:ascii="Times New Roman" w:hAnsi="Times New Roman" w:cs="Times New Roman"/>
                <w:sz w:val="20"/>
                <w:szCs w:val="20"/>
              </w:rPr>
            </w:pPr>
            <w:r>
              <w:rPr>
                <w:rFonts w:cs="Times New Roman" w:ascii="Times New Roman" w:hAnsi="Times New Roman"/>
                <w:sz w:val="20"/>
                <w:szCs w:val="20"/>
              </w:rPr>
              <w:t>Сбор и вывоз ТКО</w:t>
            </w:r>
          </w:p>
        </w:tc>
        <w:tc>
          <w:tcPr>
            <w:tcW w:w="51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65"/>
              <w:rPr>
                <w:rFonts w:ascii="Times New Roman" w:hAnsi="Times New Roman" w:cs="Times New Roman"/>
                <w:spacing w:val="-4"/>
                <w:sz w:val="20"/>
                <w:szCs w:val="20"/>
              </w:rPr>
            </w:pPr>
            <w:r>
              <w:rPr>
                <w:rFonts w:cs="Times New Roman" w:ascii="Times New Roman" w:hAnsi="Times New Roman"/>
                <w:sz w:val="20"/>
                <w:szCs w:val="20"/>
              </w:rPr>
              <w:t xml:space="preserve">повышение качества и надежности сбора и вывоза </w:t>
            </w:r>
            <w:r>
              <w:rPr>
                <w:rFonts w:cs="Times New Roman" w:ascii="Times New Roman" w:hAnsi="Times New Roman"/>
                <w:spacing w:val="-4"/>
                <w:sz w:val="20"/>
                <w:szCs w:val="20"/>
              </w:rPr>
              <w:t>ТКО;</w:t>
            </w:r>
          </w:p>
          <w:p>
            <w:pPr>
              <w:pStyle w:val="Normal"/>
              <w:spacing w:lineRule="auto" w:line="240" w:before="0" w:after="0"/>
              <w:ind w:left="65"/>
              <w:rPr>
                <w:rFonts w:ascii="Times New Roman" w:hAnsi="Times New Roman" w:cs="Times New Roman"/>
                <w:sz w:val="20"/>
                <w:szCs w:val="20"/>
              </w:rPr>
            </w:pPr>
            <w:r>
              <w:rPr>
                <w:rFonts w:cs="Times New Roman" w:ascii="Times New Roman" w:hAnsi="Times New Roman"/>
                <w:sz w:val="20"/>
                <w:szCs w:val="20"/>
              </w:rPr>
              <w:t>обустройство контейнерных площадок по СанПиН</w:t>
            </w:r>
          </w:p>
        </w:tc>
      </w:tr>
    </w:tbl>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3. Характеристика состояния и проблем системы коммунальной инфраструктуры</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Восприятие основных социально-экономических проблем Туркменского муниципального округа населением, руководителями компаний и инвесторами, действующими на территории Туркменского муниципального округа. В качестве ключевых проблем жители Туркменского муниципального округа выделяют недостаточность рабочих мест, дорожную инфраструктуру, коммунальные услуги.</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Одной из основных проблем в Туркменском муниципальном округе является большой процент износа водопроводных сетей, водозаборных колонок, и самих водозаборных очистных сооружений.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Объекты водопровода находятся в эксплуатации более 45 лет, износ водопроводных сетей составляет более 86,5%, что приводит к большим потерям воды. Для снижения потерь воды необходимо произвести замену наиболее аварийных участков сети.</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На качество обеспечения населения водой также влияет, что часть сетей в муниципальном округе тупиковые, следствием чего является недостаточная циркуляция воды в трубопроводах. Увеличивается действие гидравлических ударов при прекращении подачи воды, при отключении поврежденного участка потребителям последующих участков.</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Основная доля неучтенных расходов приходится на скрытые утечки, в состав которых может входить скрытая реализация.</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 является:</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замена изношенных сетей;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 оптимизация гидравлического режима.</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 нерациональному 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Значительно возрастает потребление воды в летний период, что в первую очередь связано с поливом приусадебных участков, а также поселковых зеленых насаждений.</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 Туркменском муниципальном округе Ставропольского края не выдавались предписания об устранении нарушений, влияющих на качество и безопасность воды.</w:t>
      </w:r>
    </w:p>
    <w:p>
      <w:pPr>
        <w:pStyle w:val="Normal"/>
        <w:spacing w:lineRule="auto" w:line="240" w:before="0" w:after="0"/>
        <w:ind w:firstLine="567"/>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В Туркменском муниципальном округе Ставропольского края система централизованного горячего водоснабжения отсутствует.</w:t>
      </w:r>
    </w:p>
    <w:p>
      <w:pPr>
        <w:pStyle w:val="Normal"/>
        <w:spacing w:lineRule="auto" w:line="240" w:before="0" w:after="0"/>
        <w:ind w:firstLine="567" w:right="162"/>
        <w:jc w:val="both"/>
        <w:rPr>
          <w:rFonts w:ascii="Times New Roman" w:hAnsi="Times New Roman" w:cs="Times New Roman"/>
          <w:sz w:val="24"/>
          <w:szCs w:val="28"/>
        </w:rPr>
      </w:pPr>
      <w:r>
        <w:rPr>
          <w:rFonts w:cs="Times New Roman" w:ascii="Times New Roman" w:hAnsi="Times New Roman"/>
          <w:sz w:val="24"/>
          <w:szCs w:val="28"/>
        </w:rPr>
        <w:t>Из комплекса существующих проблем организации качественного теплоснабжения на территории поселения, можно выделить следующие составляющие:</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-износ сетей;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-износ котельного оборудования;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-отсутствие приборов учета у части потребителей;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-отсутствие приборов учета тепла на котельных, тепловых сетях;</w:t>
      </w:r>
    </w:p>
    <w:p>
      <w:pPr>
        <w:pStyle w:val="Normal"/>
        <w:tabs>
          <w:tab w:val="clear" w:pos="708"/>
          <w:tab w:val="left" w:pos="709" w:leader="none"/>
        </w:tabs>
        <w:spacing w:lineRule="auto" w:line="240" w:before="0" w:after="0"/>
        <w:ind w:firstLine="567" w:right="-1"/>
        <w:rPr>
          <w:rFonts w:ascii="Times New Roman" w:hAnsi="Times New Roman" w:cs="Times New Roman"/>
          <w:sz w:val="24"/>
          <w:szCs w:val="28"/>
        </w:rPr>
      </w:pPr>
      <w:r>
        <w:rPr>
          <w:rFonts w:cs="Times New Roman" w:ascii="Times New Roman" w:hAnsi="Times New Roman"/>
          <w:sz w:val="24"/>
          <w:szCs w:val="28"/>
        </w:rPr>
        <w:t>-отсутствие в тепловых пунктах многоквартирных жилых домов узлов регулирования в системе теплоснабжения приводит к «перетопам» при температуре наружного воздуха от 2Сдо+10</w:t>
      </w:r>
      <w:r>
        <w:rPr>
          <w:rFonts w:cs="Times New Roman" w:ascii="Times New Roman" w:hAnsi="Times New Roman"/>
          <w:sz w:val="24"/>
          <w:szCs w:val="28"/>
          <w:vertAlign w:val="superscript"/>
        </w:rPr>
        <w:t>о</w:t>
      </w:r>
      <w:r>
        <w:rPr>
          <w:rFonts w:cs="Times New Roman" w:ascii="Times New Roman" w:hAnsi="Times New Roman"/>
          <w:sz w:val="24"/>
          <w:szCs w:val="28"/>
        </w:rPr>
        <w:t>Сивышеи,соответственно,ксозданиюнекомфортныхусловийпроживанияизавышеннымобъемампотреблениятепловой энергии, а также переплатам.</w:t>
      </w:r>
    </w:p>
    <w:p>
      <w:pPr>
        <w:pStyle w:val="Normal"/>
        <w:spacing w:lineRule="auto" w:line="240" w:before="0" w:after="0"/>
        <w:ind w:firstLine="567" w:right="-1"/>
        <w:jc w:val="both"/>
        <w:rPr>
          <w:rFonts w:ascii="Times New Roman" w:hAnsi="Times New Roman" w:cs="Times New Roman"/>
          <w:sz w:val="24"/>
          <w:szCs w:val="28"/>
        </w:rPr>
      </w:pPr>
      <w:r>
        <w:rPr>
          <w:rFonts w:cs="Times New Roman" w:ascii="Times New Roman" w:hAnsi="Times New Roman"/>
          <w:sz w:val="24"/>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pPr>
        <w:pStyle w:val="Normal"/>
        <w:spacing w:lineRule="auto" w:line="240" w:before="0" w:after="0"/>
        <w:ind w:firstLine="567" w:right="-1"/>
        <w:jc w:val="both"/>
        <w:rPr>
          <w:rFonts w:ascii="Times New Roman" w:hAnsi="Times New Roman" w:cs="Times New Roman"/>
          <w:sz w:val="24"/>
          <w:szCs w:val="28"/>
        </w:rPr>
      </w:pPr>
      <w:r>
        <w:rPr>
          <w:rFonts w:cs="Times New Roman" w:ascii="Times New Roman" w:hAnsi="Times New Roman"/>
          <w:sz w:val="24"/>
          <w:szCs w:val="28"/>
        </w:rPr>
        <w:t>Износ сетей наиболее существенная проблема организации качественного теплоснабжения.</w:t>
      </w:r>
    </w:p>
    <w:p>
      <w:pPr>
        <w:pStyle w:val="Normal"/>
        <w:spacing w:lineRule="auto" w:line="240" w:before="0" w:after="0"/>
        <w:ind w:firstLine="567" w:right="-1"/>
        <w:jc w:val="both"/>
        <w:rPr>
          <w:rFonts w:ascii="Times New Roman" w:hAnsi="Times New Roman" w:cs="Times New Roman"/>
          <w:sz w:val="24"/>
          <w:szCs w:val="28"/>
        </w:rPr>
      </w:pPr>
      <w:r>
        <w:rPr>
          <w:rFonts w:cs="Times New Roman" w:ascii="Times New Roman" w:hAnsi="Times New Roman"/>
          <w:sz w:val="24"/>
          <w:szCs w:val="28"/>
        </w:rPr>
        <w:t>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Повышение качества теплоснабжения может быть достигнуто путем реконструкции тепловых сетей.</w:t>
      </w:r>
    </w:p>
    <w:p>
      <w:pPr>
        <w:pStyle w:val="Normal"/>
        <w:spacing w:lineRule="auto" w:line="240" w:before="0" w:after="0"/>
        <w:ind w:firstLine="567" w:right="-1"/>
        <w:jc w:val="both"/>
        <w:rPr>
          <w:rFonts w:ascii="Times New Roman" w:hAnsi="Times New Roman" w:cs="Times New Roman"/>
          <w:sz w:val="24"/>
          <w:szCs w:val="28"/>
        </w:rPr>
      </w:pPr>
      <w:r>
        <w:rPr>
          <w:rFonts w:cs="Times New Roman" w:ascii="Times New Roman" w:hAnsi="Times New Roman"/>
          <w:sz w:val="24"/>
          <w:szCs w:val="28"/>
        </w:rPr>
        <w:t>Отсутствие приборов учета на тепловых сетях не позволяет оценить фактические тепловые потери в сетях.</w:t>
      </w:r>
    </w:p>
    <w:p>
      <w:pPr>
        <w:pStyle w:val="Normal"/>
        <w:spacing w:lineRule="auto" w:line="240" w:before="0" w:after="0"/>
        <w:ind w:firstLine="567" w:right="-1"/>
        <w:jc w:val="both"/>
        <w:rPr>
          <w:rFonts w:ascii="Times New Roman" w:hAnsi="Times New Roman" w:cs="Times New Roman"/>
          <w:sz w:val="24"/>
          <w:szCs w:val="28"/>
        </w:rPr>
      </w:pPr>
      <w:r>
        <w:rPr>
          <w:rFonts w:cs="Times New Roman" w:ascii="Times New Roman" w:hAnsi="Times New Roman"/>
          <w:sz w:val="24"/>
          <w:szCs w:val="28"/>
        </w:rPr>
        <w:t>Отсутствие приборов учета у части потребителей 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pPr>
        <w:pStyle w:val="Normal"/>
        <w:spacing w:lineRule="auto" w:line="240" w:before="0" w:after="0"/>
        <w:ind w:firstLine="567" w:right="-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К основным проблемам организации качественного теплоснабжения в Туркменском муниципальном округе следует отнести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w:t>
      </w:r>
    </w:p>
    <w:p>
      <w:pPr>
        <w:pStyle w:val="Normal"/>
        <w:spacing w:lineRule="auto" w:line="240" w:before="0" w:after="0"/>
        <w:ind w:firstLine="567" w:right="-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Глобальные проблемы в снабжении топливом (в том числе запасов) действующих систем теплоснабжения отсутствуют.</w:t>
      </w:r>
    </w:p>
    <w:p>
      <w:pPr>
        <w:pStyle w:val="Normal"/>
        <w:spacing w:lineRule="auto" w:line="240" w:before="0" w:after="0"/>
        <w:ind w:firstLine="567" w:right="-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Дефицита природного газа в Туркменском муниципальном округе нет. Газораспределительные сети населенных пунктов позволяют в полной мере реализовать существующие схемы газоснабжения. При этом в Туркменском муниципальном округе сохраняется наличие условий для перспективного расширения газораспределительной сети в случае развития сельскохозяйственного комплекса.</w:t>
      </w:r>
    </w:p>
    <w:p>
      <w:pPr>
        <w:pStyle w:val="Normal"/>
        <w:spacing w:lineRule="auto" w:line="240" w:before="0" w:after="0"/>
        <w:ind w:firstLine="567" w:right="-1"/>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Техническое состояние электрических сетей удовлетворительное, регулярно проводятся работы замене опор и линий электропередач. Загрузка подстанций позволяет подключение дополнительной нагрузки.</w:t>
      </w:r>
      <w:bookmarkStart w:id="59" w:name="_Toc224805165"/>
    </w:p>
    <w:p>
      <w:pPr>
        <w:pStyle w:val="Normal"/>
        <w:spacing w:lineRule="auto" w:line="240" w:before="0" w:after="0"/>
        <w:ind w:firstLine="567" w:right="-1"/>
        <w:jc w:val="both"/>
        <w:rPr>
          <w:rFonts w:ascii="Times New Roman" w:hAnsi="Times New Roman" w:cs="Times New Roman"/>
          <w:sz w:val="24"/>
          <w:szCs w:val="24"/>
        </w:rPr>
      </w:pPr>
      <w:r>
        <w:rPr>
          <w:rFonts w:cs="Times New Roman" w:ascii="Times New Roman" w:hAnsi="Times New Roman"/>
          <w:sz w:val="24"/>
          <w:szCs w:val="24"/>
        </w:rPr>
        <w:t>3.1. Водоснабжение</w:t>
      </w:r>
      <w:bookmarkEnd w:id="59"/>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Анализ существующей системы водоснабжения и дальнейших перспектив развития Туркменского муниципального округа показывает, что действующие сети водоснабжения работают на пределе ресурсной надежности, морально и физически устарели.</w:t>
      </w:r>
    </w:p>
    <w:p>
      <w:pPr>
        <w:pStyle w:val="Normal"/>
        <w:spacing w:lineRule="auto" w:line="240" w:before="0" w:after="0"/>
        <w:ind w:firstLine="567"/>
        <w:jc w:val="both"/>
        <w:rPr>
          <w:rFonts w:ascii="Times New Roman" w:hAnsi="Times New Roman" w:cs="Times New Roman"/>
          <w:b/>
          <w:bCs/>
          <w:color w:val="000000"/>
          <w:sz w:val="24"/>
          <w:szCs w:val="24"/>
          <w:u w:val="single"/>
        </w:rPr>
      </w:pPr>
      <w:r>
        <w:rPr>
          <w:rFonts w:cs="Times New Roman" w:ascii="Times New Roman" w:hAnsi="Times New Roman"/>
          <w:iCs/>
          <w:sz w:val="24"/>
          <w:szCs w:val="24"/>
        </w:rPr>
        <w:t>ГУП Ставрополькрайводоканал «Северный» - ПТП Ипатовское</w:t>
      </w:r>
      <w:r>
        <w:rPr>
          <w:rFonts w:cs="Times New Roman" w:ascii="Times New Roman" w:hAnsi="Times New Roman"/>
          <w:sz w:val="24"/>
          <w:szCs w:val="24"/>
          <w:u w:val="single"/>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Степень износа водопроводных сетей - более 80%.</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Частота аварийных ситуаций: 2023г.-37шт, 2024г.-65 шт., 2025г.-66 шт.</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Основные причины аварий на водопроводных сетях переломы асбестоцементных труб из-за просадки грунта, свищи на стальных вставках в водопроводных колодцах.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летний период возникает снижение давления и дефицит в сети и дефицит воды с. Кучерла и а. Шарахалсун.</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iCs/>
          <w:sz w:val="24"/>
          <w:szCs w:val="24"/>
        </w:rPr>
        <w:t>Филиал ГУП СК «Ставрополькрайводоканал» «Северный» производственно-техническое подразделение Благодарненское</w:t>
      </w:r>
      <w:r>
        <w:rPr>
          <w:rFonts w:cs="Times New Roman" w:ascii="Times New Roman" w:hAnsi="Times New Roman"/>
          <w:sz w:val="24"/>
          <w:szCs w:val="24"/>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Износ водопроводных сетей, по данным бухгалтерского учёта, более 80%.</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Частота аварийных ситуаций: в 2023 г. - 616, в 2024 г. - 678, в 2025 г. – 568.</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Основные причины - порывы и утечки.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Туркменский муниципальный округ не располагает в достаточном количестве собственными ресурсами подземных вод для всех видов деятельности.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Источником водоснабжения и орошения служат поверхностные воды.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Территория Туркменского округа слабо обеспечена поверхностными водами, нехватка пресной воды ощущается в летний период.</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Туркменский муниципальный округ не располагает запасами пресных подземных вод, требуется проведение специальных работ по поиску и разведке месторождений пресных подземных вод.</w:t>
      </w:r>
    </w:p>
    <w:p>
      <w:pPr>
        <w:pStyle w:val="Normal"/>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3.2 Водоотведение.</w:t>
      </w:r>
    </w:p>
    <w:p>
      <w:pPr>
        <w:pStyle w:val="Normal"/>
        <w:spacing w:lineRule="auto" w:line="240" w:before="0" w:after="0"/>
        <w:ind w:firstLine="567" w:right="121"/>
        <w:jc w:val="both"/>
        <w:rPr>
          <w:rFonts w:ascii="Times New Roman" w:hAnsi="Times New Roman" w:cs="Times New Roman"/>
          <w:sz w:val="24"/>
          <w:szCs w:val="24"/>
        </w:rPr>
      </w:pPr>
      <w:r>
        <w:rPr>
          <w:rFonts w:cs="Times New Roman" w:ascii="Times New Roman" w:hAnsi="Times New Roman"/>
          <w:sz w:val="24"/>
          <w:szCs w:val="24"/>
        </w:rPr>
        <w:t>В Туркменском муниципальном округе отсутствует система водоотведения, что является большой проблемой для сельской местности.</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Основные проблемы и их последствия.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Отсутствие централизованного водоотведения приводит к комплексу негативных последствий.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Санитарно-эпидемиологические риски: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загрязнение почвы и грунтовых вод продуктами жизнедеятельности;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распространение болезнетворных микроорганизмов;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повышенный риск вспышек кишечных инфекций и паразитарных заболеваний;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ухудшение качества питьевой воды из-за проникновения загрязнений в водоносные горизонты.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Экологические проблемы: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систематическое загрязнение водоёмов сточными водами;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накопление токсичных веществ в почве, что снижает её плодородие;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нарушение экологического баланса в природных экосистемах.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Социально бытовые неудобства: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необходимость регулярной и дорогостоящей откачки выгребных ям;</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неприятный запах в населённых пунктах, особенно в тёплое время года;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-ограничения в благоустройстве домовладений (невозможность установки современных сантехнических приборов).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Таким образом, отсутствие системы водоотведения в Туркменском муниципальном округе - это комплексная проблема, требующая системного подхода и значительных инвестиций. Её решение не только улучшит качество жизни населения, но и создаст предпосылки для устойчивого социально - экономического развития территории.</w:t>
      </w:r>
    </w:p>
    <w:p>
      <w:pPr>
        <w:pStyle w:val="Normal"/>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3.3. Электроснабжение.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Степень износа элементов инфраструктуры: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износ воздушных линий электропередачи – 40 %;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износ кабельных линий электропередачи – 40 %;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износ трансформаторных подстанций – 40 %;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износ распределительных пунктов – 40 %.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Частота и длительность аварийных отключений по зонам обслуживания электроэнергии за период 2023-2025гг.: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 xml:space="preserve">в 2023 - (95) 36 по ВЛ-10 кВ, 59 по ВЛ-0,4 кВ;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в 2024 - (92) 34 по ВЛ-10 кВ, 58 по ВЛ-0,4 кВ;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в 2025 - (62) 19 по ВЛ-10 кВ, 43 по ВЛ-0,4 кВ.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Основная причина аварийных отключений - старение изоляции ввода, механическое разрушение изоляторов.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Сезонный рост потребления электроэнергии в зоне обслуживания Туркменских РЭС не наблюдается.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Планируемое подключение новых крупных потребителей в ближайшие 5 лет не планируется.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Туркменских РЭС используемся система автоматизированная информационно-измерительная система коммерческого учёта электроэнергии (АИИС КУЭ).</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Уровень оснащённости средствами телемеханики - 87 %.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Туркменских РЭС плановые осмотры и техническое обслуживание оборудования ВЛ и ТП проводятся в соответствии с утвержденными графиками.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Основные виды ремонтных работ, выполняемые на объектах: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капитальные ремонты.</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Годовой отчет по балансу электроэнергии:</w:t>
      </w:r>
    </w:p>
    <w:p>
      <w:pPr>
        <w:pStyle w:val="ListParagraph"/>
        <w:numPr>
          <w:ilvl w:val="0"/>
          <w:numId w:val="1"/>
        </w:numPr>
        <w:spacing w:lineRule="auto" w:line="240" w:before="0" w:after="0"/>
        <w:ind w:firstLine="567" w:left="0"/>
        <w:contextualSpacing/>
        <w:jc w:val="both"/>
        <w:rPr>
          <w:rFonts w:ascii="Times New Roman" w:hAnsi="Times New Roman" w:cs="Times New Roman"/>
          <w:sz w:val="24"/>
          <w:szCs w:val="24"/>
        </w:rPr>
      </w:pPr>
      <w:r>
        <w:rPr>
          <w:rFonts w:eastAsia="Times New Roman" w:cs="Times New Roman" w:ascii="Times New Roman" w:hAnsi="Times New Roman"/>
          <w:sz w:val="24"/>
          <w:szCs w:val="24"/>
        </w:rPr>
        <w:t>отпуск с шин 30 147 050 кВт.;</w:t>
      </w:r>
    </w:p>
    <w:p>
      <w:pPr>
        <w:pStyle w:val="ListParagraph"/>
        <w:numPr>
          <w:ilvl w:val="0"/>
          <w:numId w:val="1"/>
        </w:numPr>
        <w:spacing w:lineRule="auto" w:line="240" w:before="0" w:after="0"/>
        <w:ind w:firstLine="567" w:left="0"/>
        <w:contextualSpacing/>
        <w:jc w:val="both"/>
        <w:rPr>
          <w:rFonts w:ascii="Times New Roman" w:hAnsi="Times New Roman" w:cs="Times New Roman"/>
          <w:sz w:val="24"/>
          <w:szCs w:val="24"/>
        </w:rPr>
      </w:pPr>
      <w:r>
        <w:rPr>
          <w:rFonts w:eastAsia="Times New Roman" w:cs="Times New Roman" w:ascii="Times New Roman" w:hAnsi="Times New Roman"/>
          <w:sz w:val="24"/>
          <w:szCs w:val="24"/>
        </w:rPr>
        <w:t>полезный отпуск 24 968 970 кВт.</w:t>
      </w:r>
    </w:p>
    <w:p>
      <w:pPr>
        <w:pStyle w:val="Normal"/>
        <w:spacing w:lineRule="auto" w:line="240" w:before="0" w:after="0"/>
        <w:ind w:firstLine="567"/>
        <w:jc w:val="both"/>
        <w:rPr>
          <w:rFonts w:ascii="Times New Roman" w:hAnsi="Times New Roman" w:cs="Times New Roman"/>
          <w:sz w:val="24"/>
          <w:szCs w:val="24"/>
        </w:rPr>
      </w:pPr>
      <w:r>
        <w:rPr>
          <w:rFonts w:eastAsia="Times New Roman" w:cs="Times New Roman" w:ascii="Times New Roman" w:hAnsi="Times New Roman"/>
          <w:sz w:val="24"/>
          <w:szCs w:val="24"/>
        </w:rPr>
        <w:t xml:space="preserve">На территории Туркменского муниципального округа Ставропольского края в 2025 году подключено 24 потребителя 3 категории электроснабжения. </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 территории Туркменского муниципального округа Ставропольского края в 2025 году работ по реконструкции электроустановок Туркменских РЭС не было.</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 данным филиала акционерного общества «Ставэлектросеть» г Светлоград - степень износа элементов инфраструктуры:</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t>
        <w:tab/>
        <w:t>воздушных линии электропередачи-70.3 %, кабельных линий - 72,3%, трансформаторных подстанций - 43,3%;</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аварийные отключения за 2023 г.-2 шт., 2024 г. -6 шт., 2025 г.-3 шт.;</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основные причины аварийных отключений: не качественное и не своевременное обслуживание потребительских трансформаторных подстанций, а также погодные условия;</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все объекты, обслуживаемые участком с. Летняя Ставка оборудованы приборами учета электроэнергии.</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участок с. Летняя Ставка филиала АО «Ставэлектросеть» г. Светлоград частично оснащен автоматической системой контроля и учета электроэнергии (АСКУЭ);</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объекты участка с. Летняя Ставка филиала АО «Ставэлектросеть» г. Светлоград средствами телемеханики не оснащены.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Годовой баланс электроэнергии за 2025 год: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прием в сеть- 8 903 970 кВт/ч.;</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полезный отпуск - 7 766 060 кВт/ч.;</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 за 2025 г. количество подключенных потребителей электрической энергии </w:t>
      </w:r>
      <w:r>
        <w:rPr>
          <w:rFonts w:cs="Times New Roman" w:ascii="Times New Roman" w:hAnsi="Times New Roman"/>
          <w:sz w:val="24"/>
          <w:szCs w:val="24"/>
          <w:lang w:val="en-US"/>
        </w:rPr>
        <w:t>III</w:t>
      </w:r>
      <w:r>
        <w:rPr>
          <w:rFonts w:cs="Times New Roman" w:ascii="Times New Roman" w:hAnsi="Times New Roman"/>
          <w:sz w:val="24"/>
          <w:szCs w:val="24"/>
        </w:rPr>
        <w:t>-категории, составляет-10 шт.</w:t>
      </w:r>
    </w:p>
    <w:p>
      <w:pPr>
        <w:pStyle w:val="Normal"/>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3.4. Газоснабжение.</w:t>
      </w:r>
    </w:p>
    <w:p>
      <w:pPr>
        <w:pStyle w:val="Normal"/>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 xml:space="preserve">В Туркменском </w:t>
      </w:r>
      <w:r>
        <w:rPr>
          <w:rFonts w:eastAsia="Times New Roman" w:cs="Times New Roman" w:ascii="Times New Roman" w:hAnsi="Times New Roman"/>
          <w:sz w:val="24"/>
          <w:szCs w:val="24"/>
        </w:rPr>
        <w:t>муниципальном округе</w:t>
      </w:r>
      <w:r>
        <w:rPr>
          <w:rFonts w:cs="Times New Roman" w:ascii="Times New Roman" w:hAnsi="Times New Roman"/>
          <w:sz w:val="24"/>
          <w:szCs w:val="24"/>
        </w:rPr>
        <w:t xml:space="preserve"> котельные работают на природном газе. Проблемы организации газоснабжения отсутствуют.</w:t>
      </w:r>
    </w:p>
    <w:p>
      <w:pPr>
        <w:pStyle w:val="Normal"/>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Степень износа газораспределительных сетей составляет 35 %. На балансе АО «Туркменскрайгаз» ГРС отсутствуют.</w:t>
      </w:r>
    </w:p>
    <w:p>
      <w:pPr>
        <w:pStyle w:val="Normal"/>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За последние три года аварийных ситуаций на сетях газораспределения и газопотребления не зафиксировано.</w:t>
      </w:r>
    </w:p>
    <w:p>
      <w:pPr>
        <w:pStyle w:val="Normal"/>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Выполненные работы по реконструкции на территории округа в 2025г.:</w:t>
      </w:r>
    </w:p>
    <w:p>
      <w:pPr>
        <w:pStyle w:val="Normal"/>
        <w:spacing w:lineRule="auto" w:line="276" w:before="0" w:after="0"/>
        <w:ind w:firstLine="566" w:left="118" w:right="124"/>
        <w:jc w:val="both"/>
        <w:rPr>
          <w:sz w:val="24"/>
          <w:szCs w:val="24"/>
        </w:rPr>
      </w:pPr>
      <w:r>
        <w:rPr>
          <w:rFonts w:cs="Times New Roman" w:ascii="Times New Roman" w:hAnsi="Times New Roman"/>
          <w:sz w:val="24"/>
          <w:szCs w:val="24"/>
        </w:rPr>
        <w:t>- Техническое перевооружение ШРП №31 (22/48), расположенное по адресу Туркменский муниципальный округ с. Владимировка, ул. Ленина № 000079;</w:t>
      </w:r>
    </w:p>
    <w:p>
      <w:pPr>
        <w:pStyle w:val="Normal"/>
        <w:spacing w:lineRule="auto" w:line="276" w:before="0" w:after="0"/>
        <w:ind w:firstLine="566" w:left="118" w:right="124"/>
        <w:jc w:val="both"/>
        <w:rPr>
          <w:sz w:val="24"/>
          <w:szCs w:val="24"/>
        </w:rPr>
      </w:pPr>
      <w:r>
        <w:rPr>
          <w:rFonts w:cs="Times New Roman" w:ascii="Times New Roman" w:hAnsi="Times New Roman"/>
          <w:sz w:val="24"/>
          <w:szCs w:val="24"/>
        </w:rPr>
        <w:t>- Техническое перевооружение ШРП №13 (22/9), расположенное по адресу Туркменский муниципальный округ с. Летняя Ставка, ул. Садовая, Южная № 0000041;</w:t>
      </w:r>
    </w:p>
    <w:p>
      <w:pPr>
        <w:pStyle w:val="Normal"/>
        <w:spacing w:lineRule="auto" w:line="276" w:before="0" w:after="0"/>
        <w:ind w:firstLine="566" w:left="118" w:right="124"/>
        <w:jc w:val="both"/>
        <w:rPr>
          <w:sz w:val="24"/>
          <w:szCs w:val="24"/>
        </w:rPr>
      </w:pPr>
      <w:r>
        <w:rPr>
          <w:rFonts w:cs="Times New Roman" w:ascii="Times New Roman" w:hAnsi="Times New Roman"/>
          <w:sz w:val="24"/>
          <w:szCs w:val="24"/>
        </w:rPr>
        <w:t>- Техническое перевооружение ШРП №42 (22/33), расположенное по адресу Туркменский муниципальный округ с. Овощи, ул. Полтавская № 0000046.3.</w:t>
      </w:r>
    </w:p>
    <w:p>
      <w:pPr>
        <w:pStyle w:val="Normal"/>
        <w:spacing w:lineRule="auto" w:line="240" w:before="0" w:after="0"/>
        <w:ind w:firstLine="567" w:right="124"/>
        <w:rPr>
          <w:rFonts w:ascii="Times New Roman" w:hAnsi="Times New Roman" w:cs="Times New Roman"/>
          <w:sz w:val="24"/>
          <w:szCs w:val="24"/>
        </w:rPr>
      </w:pPr>
      <w:r>
        <w:rPr>
          <w:rFonts w:cs="Times New Roman" w:ascii="Times New Roman" w:hAnsi="Times New Roman"/>
          <w:sz w:val="24"/>
          <w:szCs w:val="24"/>
        </w:rPr>
        <w:t>3.5.Сбор и вывоз ТКО.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соответствии с действующей Территориальной схемой обращения с отходами в Ставропольском крае (утвержден постановлением Правительства Ставропольского края от 22.09.2016 № 408-п) на территории муниципального образования объекты по обращению с отходами отсутствуют</w:t>
      </w:r>
      <w:r>
        <w:rPr>
          <w:rFonts w:cs="Times New Roman" w:ascii="Times New Roman" w:hAnsi="Times New Roman"/>
          <w:color w:themeColor="text1" w:val="000000"/>
          <w:sz w:val="24"/>
          <w:szCs w:val="24"/>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Услуги по вывозу и сбору твердых и жидких отходов разделили. Они оказываются и оплачиваются в новом порядке.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Термин твердые коммунальные отходы заменил термин твердые бытовые отходы, а сама услуга по вывозу ТКО стала коммунальной.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Полномочия по обращению с отходами передали с муниципального уровня на региональный.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Субъекты РФ с 2019 года разработали территориальную схему обращения с отходами, установили нормативы накопления и тариф на коммунальную услугу, выбрали региональных операторов по обращению с ТКО.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Заключение договора о вывозе ТКО стало обязательным как для жильцов многоквартирных домов, так и для собственников индивидуальных жилых домов, а также для юридических лиц, индивидуальных предпринимателей и т.д.</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соответствии со статьей 24.6 Федерального Закона от 24.06.1998 № 89-ФЗ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pPr>
        <w:pStyle w:val="Normal"/>
        <w:spacing w:lineRule="auto" w:line="240" w:before="0" w:after="0"/>
        <w:ind w:firstLine="567" w:right="124"/>
        <w:jc w:val="both"/>
        <w:rPr>
          <w:rFonts w:ascii="Times New Roman" w:hAnsi="Times New Roman" w:cs="Times New Roman"/>
          <w:sz w:val="24"/>
          <w:szCs w:val="24"/>
        </w:rPr>
      </w:pPr>
      <w:r>
        <w:rPr>
          <w:rFonts w:cs="Times New Roman" w:ascii="Times New Roman" w:hAnsi="Times New Roman"/>
          <w:sz w:val="24"/>
          <w:szCs w:val="24"/>
        </w:rPr>
        <w:t>Постановлением Правительства Ставропольского края от 22.09.2016 № 408-п утверждена территориальная схема обращения с отходами, в том числе с твердыми коммунальными отходами в Ставропольском крае.</w:t>
      </w:r>
    </w:p>
    <w:p>
      <w:pPr>
        <w:pStyle w:val="Normal"/>
        <w:spacing w:lineRule="auto" w:line="240" w:before="0" w:after="0"/>
        <w:ind w:firstLine="567" w:right="124"/>
        <w:rPr>
          <w:rFonts w:ascii="Times New Roman" w:hAnsi="Times New Roman" w:cs="Times New Roman"/>
          <w:sz w:val="24"/>
          <w:szCs w:val="24"/>
        </w:rPr>
      </w:pPr>
      <w:r>
        <w:rPr>
          <w:rFonts w:cs="Times New Roman" w:ascii="Times New Roman" w:hAnsi="Times New Roman"/>
          <w:sz w:val="24"/>
          <w:szCs w:val="24"/>
        </w:rPr>
        <w:t>3.6. Теплоснабжение.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 информации предоставленной теплоснабжающей организацией отказов тепловых сетей (аварийных ситуаций) за последние 5 лет не происходило. Дефицита тепловой мощности нет.</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Можно выделить следующие недостатки структуры тепловых сетей теплоснабжения Туркменского муниципального округа: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отсутствие резервирования тепловых 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жесткая гидравлическая связь между всеми элементами системы, что может привести к повышению давления в некоторых элементах выше допустимого;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низкая гидравлическая устойчивость теплосетей.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Кроме того, большой срок эксплуатации теплосетей и невозможность их закольцовки и устройства перемычек предопределяют низкую надежность, экономичность и управляемость тепловых сетей теплоснабжения Туркменского муниципального округа.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Основным топливом для котельных, расположенных на территории Туркменского муниципального округа, является природный газ. Резервного и аварийного вида топлива не предусмотрено.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Аварийность на сетях во время отопительного сезона отсутствует, незначительные инциденты бывают только во время запуска в начале отопительного сезона и устраняются в кратчайшие сроки. Качество предоставляемых услуг соответствует нормативным требованиям.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Большая часть оборудования, установленного на котельных, имеет значительный моральный и физический износ, что ведет к существенному увеличению затрат на ремонтно-восстановительные работы.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Часть участков тепловых сетей отработала нормативный срок эксплуатации, при дальнейшей эксплуатации увеличивается вероятность возникновения отказов и прорывов на тепловых сетях и соответственно ведет к снижению надежности и эффективности теплоснабжения потребителей тепловой энергии. Старение тепловых сетей приводит как к снижению надежности, вызванному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Повышение качества теплоснабжения может быть достигнуто путем реконструкции тепловых 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Гидравлические режимы тепловых сетей. Для обеспечения качественного теплоснабжения необходимо провести работы по оптимизации тепловой сети и по наладке гидравлических режимов тепловой сети.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Основными причинами, определяющими низкую эффективность функционирования системы теплоснабжения, являются: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tab/>
        <w:t>высокий износ тепловых 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tab/>
        <w:t>большие потери тепловой энергии при транспортировке;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w:t>
        <w:tab/>
        <w:t>отсутствие или низкое качество теплоизоляции трубопроводов;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утечки из тепловых сетей из-за изношенности трубопроводов.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Без осуществления замены трубопроводов к расчетному сроку реализации настоящей Программы практически все сети исчерпают свой эксплуатационный ресурс.</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Таким образом, для повышения эффективности предлагается полная замена ветхих тепловых сетей путем замены трубопроводов и тепловой изоляции на современные материалы с применением энергоэффективных технологий (трубы в ППУ изоляции с полиэтиленовой оболочкой).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Предложения по строительству и реконструкции тепловых сетей, обеспечивающих перераспределение тепловой нагрузки из зоны с дефицитом располагаемой мощности источника тепловой энергии в зоны с резервом располагаемой мощности источников тепловой энергии, не является актуальным для Туркменского округа, так как зоны с дефицитом располагаемой мощности источников тепловой энергии отсутствуют.</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center"/>
        <w:rPr>
          <w:rFonts w:ascii="Times New Roman" w:hAnsi="Times New Roman" w:cs="Times New Roman"/>
          <w:sz w:val="24"/>
          <w:szCs w:val="24"/>
        </w:rPr>
      </w:pPr>
      <w:r>
        <w:rPr>
          <w:rFonts w:cs="Times New Roman" w:ascii="Times New Roman" w:hAnsi="Times New Roman"/>
          <w:sz w:val="24"/>
          <w:szCs w:val="24"/>
        </w:rPr>
        <w:t>4. ОЦЕНКА РЕАЛИЗАЦИИ МЕРОПРИЯТИЙ В ОБЛАСТИ ЭНЕРГО И РЕСУРСОСНАБЖЕНИЯ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w:t>
      </w:r>
    </w:p>
    <w:p>
      <w:pPr>
        <w:pStyle w:val="Normal"/>
        <w:spacing w:lineRule="auto" w:line="240" w:before="0" w:after="0"/>
        <w:ind w:firstLine="567"/>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bCs/>
          <w:iCs/>
          <w:sz w:val="24"/>
          <w:szCs w:val="28"/>
        </w:rPr>
      </w:pPr>
      <w:r>
        <w:rPr>
          <w:rFonts w:cs="Times New Roman" w:ascii="Times New Roman" w:hAnsi="Times New Roman"/>
          <w:bCs/>
          <w:iCs/>
          <w:sz w:val="24"/>
          <w:szCs w:val="28"/>
        </w:rPr>
        <w:t>Основная цель программы.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Ключевой целью настоящей программы является создание комплексных условий для приведения коммунальной инфраструктуры округа в полное соответствие с современными стандартами качества. Это позволит обеспечить жителям максимально комфортные и безопасные условия проживания, отвечающие актуальным требованиям благоустройства и энергоэффективности.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Программа призвана сформировать устойчивую, надёжную и технологичную систему жизнеобеспечения, способную адаптироваться к растущим потребностям населения и новым вызовам современности.</w:t>
      </w:r>
    </w:p>
    <w:p>
      <w:pPr>
        <w:pStyle w:val="Normal"/>
        <w:spacing w:lineRule="auto" w:line="240" w:before="0" w:after="0"/>
        <w:ind w:firstLine="567"/>
        <w:jc w:val="both"/>
        <w:rPr>
          <w:rFonts w:ascii="Times New Roman" w:hAnsi="Times New Roman" w:cs="Times New Roman"/>
          <w:bCs/>
          <w:iCs/>
          <w:sz w:val="24"/>
          <w:szCs w:val="28"/>
        </w:rPr>
      </w:pPr>
      <w:r>
        <w:rPr>
          <w:rFonts w:cs="Times New Roman" w:ascii="Times New Roman" w:hAnsi="Times New Roman"/>
          <w:bCs/>
          <w:iCs/>
          <w:sz w:val="24"/>
          <w:szCs w:val="28"/>
        </w:rPr>
        <w:t>Анализ проблем в сфере коммунального хозяйства.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Для эффективного решения накопившихся проблем в сфере жилищно - коммунального хозяйства требуется глубокий, всесторонний анализ работы всех систем коммунального комплекса. Такой анализ должен включать:</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оценку качества поставляемых коммунальных услуг — с точки зрения соответствия нормативным показателям, удовлетворённости потребителей, оперативности реагирования на возникающие сбои;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выявление и учёт потерь ресурсов — как физических (утечки воды, теплопотери, потери электроэнергии), так и коммерческих (неучтённое потребление, хищения, ошибки учёта);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диагностику состояния коммунальной инфраструктуры — определение степени износа сетей, оборудования и сооружений, выявление участков, требующих первоочередного вмешательства, прогнозирование сроков выхода из строя критически важных элементов системы.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Только на основе достоверных данных, полученных в ходе такого комплексного обследования, можно выстроить грамотную стратегию модернизации и определить приоритетные направления расходования средств.</w:t>
      </w:r>
    </w:p>
    <w:p>
      <w:pPr>
        <w:pStyle w:val="Normal"/>
        <w:spacing w:lineRule="auto" w:line="240" w:before="0" w:after="0"/>
        <w:ind w:firstLine="567"/>
        <w:jc w:val="both"/>
        <w:rPr>
          <w:rFonts w:ascii="Times New Roman" w:hAnsi="Times New Roman" w:cs="Times New Roman"/>
          <w:bCs/>
          <w:iCs/>
          <w:sz w:val="24"/>
          <w:szCs w:val="28"/>
        </w:rPr>
      </w:pPr>
      <w:r>
        <w:rPr>
          <w:rFonts w:cs="Times New Roman" w:ascii="Times New Roman" w:hAnsi="Times New Roman"/>
          <w:bCs/>
          <w:iCs/>
          <w:sz w:val="24"/>
          <w:szCs w:val="28"/>
        </w:rPr>
        <w:t>Задачи программы.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Для достижения поставленной цели необходимо решить ряд взаимосвязанных задач:</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Модернизация объектов коммунальной инфраструктуры — обновление оборудования, внедрение современных технологий, повышение надёжности и долговечности систем жизнеобеспечения.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Реконструкция основных средств — капитальный ремонт или замена устаревших элементов инфраструктуры, не отвечающих современным требованиям безопасности и эффективности.</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Внедрение энергосберегающих технологий — снижение удельного потребления ресурсов при сохранении или повышении качества услуг.</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Повышение качества энергоносителя — обеспечение соответствия поставляемых ресурсов (воды, тепла, газа, электроэнергии) нормативным показателям по чистоте, температуре, давлению и другим параметрам.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Строительство новых объектов коммунальной инфраструктуры — с целью подключения новых абонентов, расширения зоны обслуживания и создания резерва мощностей для перспективного развития округа.</w:t>
      </w:r>
    </w:p>
    <w:p>
      <w:pPr>
        <w:pStyle w:val="Normal"/>
        <w:spacing w:lineRule="auto" w:line="240" w:before="0" w:after="0"/>
        <w:ind w:firstLine="567"/>
        <w:jc w:val="both"/>
        <w:rPr>
          <w:rFonts w:ascii="Times New Roman" w:hAnsi="Times New Roman" w:cs="Times New Roman"/>
          <w:bCs/>
          <w:iCs/>
          <w:sz w:val="24"/>
          <w:szCs w:val="28"/>
        </w:rPr>
      </w:pPr>
      <w:r>
        <w:rPr>
          <w:rFonts w:cs="Times New Roman" w:ascii="Times New Roman" w:hAnsi="Times New Roman"/>
          <w:bCs/>
          <w:iCs/>
          <w:sz w:val="24"/>
          <w:szCs w:val="28"/>
        </w:rPr>
        <w:t>Мероприятия по реализации программы.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Решение задач программы предполагает реализацию комплекса мероприятий по ключевым направлениям.</w:t>
      </w:r>
    </w:p>
    <w:p>
      <w:pPr>
        <w:pStyle w:val="Normal"/>
        <w:spacing w:lineRule="auto" w:line="240" w:before="0" w:after="0"/>
        <w:ind w:firstLine="567"/>
        <w:jc w:val="both"/>
        <w:rPr>
          <w:rFonts w:ascii="Times New Roman" w:hAnsi="Times New Roman" w:cs="Times New Roman"/>
          <w:sz w:val="24"/>
          <w:szCs w:val="28"/>
          <w:u w:val="single"/>
        </w:rPr>
      </w:pPr>
      <w:r>
        <w:rPr>
          <w:rFonts w:cs="Times New Roman" w:ascii="Times New Roman" w:hAnsi="Times New Roman"/>
          <w:sz w:val="24"/>
          <w:szCs w:val="28"/>
        </w:rPr>
        <w:t>1. Энергосбережение и повышение энергоэффективности</w:t>
      </w:r>
      <w:r>
        <w:rPr>
          <w:rFonts w:cs="Times New Roman" w:ascii="Times New Roman" w:hAnsi="Times New Roman"/>
          <w:sz w:val="24"/>
          <w:szCs w:val="28"/>
          <w:u w:val="single"/>
        </w:rPr>
        <w:t>:</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установка приборов учёта — повсеместное оснащение жилых домов, социальных объектов и предприятий приборами коммерческого учёта, что позволит фиксировать фактический расход ресурсов, выявлять нерациональное потребление и стимулировать экономное использование;</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модернизация систем с внедрением энерго - и ресурсосберегающих технологий — замена устаревшего оборудования на энергоэффективное, оптимизация режимов работы котельных, насосных станций и других объектов, внедрение автоматизированных систем управления, что в совокупности приведёт к существенному снижению себестоимости услуг без ущерба для качества.</w:t>
      </w:r>
    </w:p>
    <w:p>
      <w:pPr>
        <w:pStyle w:val="Normal"/>
        <w:spacing w:lineRule="auto" w:line="240" w:before="0" w:after="0"/>
        <w:ind w:firstLine="567"/>
        <w:jc w:val="both"/>
        <w:rPr>
          <w:rFonts w:ascii="Times New Roman" w:hAnsi="Times New Roman" w:cs="Times New Roman"/>
          <w:sz w:val="24"/>
          <w:szCs w:val="28"/>
          <w:u w:val="single"/>
        </w:rPr>
      </w:pPr>
      <w:r>
        <w:rPr>
          <w:rFonts w:cs="Times New Roman" w:ascii="Times New Roman" w:hAnsi="Times New Roman"/>
          <w:sz w:val="24"/>
          <w:szCs w:val="28"/>
        </w:rPr>
        <w:t>2. Повышение качества поставляемых ресурсов: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замена изношенных сетей — поэтапная реконструкция водопроводных, тепловых, газовых и электрических сетей, находящихся в аварийном или предаварийном состоянии, с применением современных материалов, обладающих повышенной долговечностью и устойчивостью к внешним воздействиям;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обновление оборудования со сверхнормативным сроком службы — плановая замена насосов, котлов, трансформаторов и других агрегатов, выработавших свой ресурс, на более производительные и экономичные модели, что повысит надёжность системы и снизит риск внезапных отказов.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3. Подключение новых абонентов и расширение инфраструктуры: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строительство новых сетей — прокладка распределительных газопроводов, водоводов, тепловых магистралей и линий электропередачи в районах перспективной застройки, что обеспечит возможность подключения новых жилых комплексов, объектов социальной сферы и предприятий;</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установка дополнительного оборудования — наращивание мощностей котельных, водонапорных башен, трансформаторных подстанций и других объектов инфраструктуры для гарантированного обеспечения растущих потребностей округа.</w:t>
      </w:r>
    </w:p>
    <w:p>
      <w:pPr>
        <w:pStyle w:val="Normal"/>
        <w:spacing w:lineRule="auto" w:line="240" w:before="0" w:after="0"/>
        <w:ind w:firstLine="567"/>
        <w:jc w:val="both"/>
        <w:rPr>
          <w:rFonts w:ascii="Times New Roman" w:hAnsi="Times New Roman" w:cs="Times New Roman"/>
          <w:bCs/>
          <w:iCs/>
          <w:sz w:val="24"/>
          <w:szCs w:val="28"/>
        </w:rPr>
      </w:pPr>
      <w:r>
        <w:rPr>
          <w:rFonts w:cs="Times New Roman" w:ascii="Times New Roman" w:hAnsi="Times New Roman"/>
          <w:bCs/>
          <w:iCs/>
          <w:sz w:val="24"/>
          <w:szCs w:val="28"/>
        </w:rPr>
        <w:t>Источники финансирования.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Реализация программы требует привлечения значительных финансовых ресурсов. Предусмотрены следующие источники финансирования: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средства бюджета поселения — целевые ассигнования из местного бюджета, выделяемые на развитие коммунальной инфраструктуры в рамках утверждённых программ;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целевые программы — участие в краевых, федеральных и межмуниципальных программах поддержки ЖКХ, что позволяет привлекать дополнительные средства на софинансирование приоритетных проектов;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инвестиционная надбавка к тарифу — включение в тариф на коммунальные услуги специальной инвестиционной составляющей, которая аккумулируется для финансирования капитальных вложений в инфраструктуру;</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платежи за технологическое подключение — средства, поступающие от новых абонентов при подключении их объектов к сетям энергоносителей, которые направляются на развитие соответствующих систем.</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Такой комплексный подход к формированию источников финансирования обеспечит устойчивое и поэтапное выполнение программы, позволит избежать критической нагрузки на бюджет и добиться ощутимого улучшения качества жизни населения Туркменского муниципального округа.</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firstLine="567"/>
        <w:jc w:val="center"/>
        <w:rPr>
          <w:rFonts w:ascii="Times New Roman" w:hAnsi="Times New Roman" w:cs="Times New Roman"/>
          <w:sz w:val="24"/>
          <w:szCs w:val="28"/>
        </w:rPr>
      </w:pPr>
      <w:r>
        <w:rPr>
          <w:rFonts w:cs="Times New Roman" w:ascii="Times New Roman" w:hAnsi="Times New Roman"/>
          <w:sz w:val="24"/>
          <w:szCs w:val="28"/>
        </w:rPr>
        <w:t>5. ОБОСНОВАНИЕ ЦЕЛЕВЫХ ПОКАЗАТЕЛЕЙ РАЗВИТИЯ СИСТЕМ КОММУНАЛЬНОЙ ИНФРАСТРУКТУРЫ</w:t>
      </w:r>
    </w:p>
    <w:p>
      <w:pPr>
        <w:pStyle w:val="Normal"/>
        <w:spacing w:lineRule="auto" w:line="240" w:before="0" w:after="0"/>
        <w:ind w:firstLine="567"/>
        <w:jc w:val="both"/>
        <w:rPr>
          <w:rFonts w:ascii="Times New Roman" w:hAnsi="Times New Roman" w:cs="Times New Roman"/>
          <w:spacing w:val="-2"/>
          <w:sz w:val="24"/>
          <w:szCs w:val="28"/>
        </w:rPr>
      </w:pPr>
      <w:r>
        <w:rPr>
          <w:rFonts w:cs="Times New Roman" w:ascii="Times New Roman" w:hAnsi="Times New Roman"/>
          <w:spacing w:val="-2"/>
          <w:sz w:val="24"/>
          <w:szCs w:val="28"/>
        </w:rPr>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Ниже приведена таблица, содержащая систему целевых показателей комплексного развития коммунальной инфраструктуры Туркменского муниципального округа — как в текущем состоянии (до реализации программы), так и в прогнозируемом (после её выполнения).</w:t>
      </w:r>
    </w:p>
    <w:p>
      <w:pPr>
        <w:pStyle w:val="Normal"/>
        <w:spacing w:lineRule="auto" w:line="240" w:before="0" w:after="0"/>
        <w:ind w:firstLine="567"/>
        <w:jc w:val="right"/>
        <w:rPr>
          <w:rFonts w:ascii="Times New Roman" w:hAnsi="Times New Roman" w:cs="Times New Roman"/>
          <w:sz w:val="24"/>
          <w:szCs w:val="28"/>
        </w:rPr>
      </w:pPr>
      <w:r>
        <w:rPr>
          <w:rFonts w:cs="Times New Roman" w:ascii="Times New Roman" w:hAnsi="Times New Roman"/>
          <w:sz w:val="24"/>
          <w:szCs w:val="28"/>
        </w:rPr>
        <w:t>Таблица 33.</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4"/>
          <w:szCs w:val="28"/>
        </w:rPr>
        <w:t>Целевые показатели комплексного развития коммунальной инфраструктуры</w:t>
      </w:r>
      <w:r>
        <w:rPr>
          <w:rFonts w:cs="Times New Roman" w:ascii="Times New Roman" w:hAnsi="Times New Roman"/>
          <w:sz w:val="28"/>
          <w:szCs w:val="28"/>
        </w:rPr>
        <w:t>.</w:t>
      </w:r>
    </w:p>
    <w:tbl>
      <w:tblPr>
        <w:tblW w:w="9606" w:type="dxa"/>
        <w:jc w:val="left"/>
        <w:tblInd w:w="141" w:type="dxa"/>
        <w:tblLayout w:type="fixed"/>
        <w:tblCellMar>
          <w:top w:w="0" w:type="dxa"/>
          <w:left w:w="5" w:type="dxa"/>
          <w:bottom w:w="0" w:type="dxa"/>
          <w:right w:w="5" w:type="dxa"/>
        </w:tblCellMar>
        <w:tblLook w:val="04a0"/>
      </w:tblPr>
      <w:tblGrid>
        <w:gridCol w:w="4250"/>
        <w:gridCol w:w="2965"/>
        <w:gridCol w:w="2361"/>
        <w:gridCol w:w="29"/>
      </w:tblGrid>
      <w:tr>
        <w:trPr>
          <w:trHeight w:val="45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564" w:left="1007"/>
              <w:jc w:val="center"/>
              <w:rPr>
                <w:rFonts w:ascii="Times New Roman" w:hAnsi="Times New Roman" w:cs="Times New Roman"/>
                <w:sz w:val="20"/>
                <w:szCs w:val="20"/>
              </w:rPr>
            </w:pPr>
            <w:r>
              <w:rPr>
                <w:rFonts w:cs="Times New Roman" w:ascii="Times New Roman" w:hAnsi="Times New Roman"/>
                <w:sz w:val="20"/>
                <w:szCs w:val="20"/>
              </w:rPr>
              <w:t>Целевые показатели комплексного развития коммунальной инфраструктуры</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142" w:left="576" w:right="455"/>
              <w:jc w:val="center"/>
              <w:rPr>
                <w:rFonts w:ascii="Times New Roman" w:hAnsi="Times New Roman" w:cs="Times New Roman"/>
                <w:spacing w:val="-2"/>
                <w:sz w:val="20"/>
                <w:szCs w:val="20"/>
              </w:rPr>
            </w:pPr>
            <w:r>
              <w:rPr>
                <w:rFonts w:cs="Times New Roman" w:ascii="Times New Roman" w:hAnsi="Times New Roman"/>
                <w:sz w:val="20"/>
                <w:szCs w:val="20"/>
              </w:rPr>
              <w:t xml:space="preserve">До реализации </w:t>
            </w:r>
            <w:r>
              <w:rPr>
                <w:rFonts w:cs="Times New Roman" w:ascii="Times New Roman" w:hAnsi="Times New Roman"/>
                <w:spacing w:val="-2"/>
                <w:sz w:val="20"/>
                <w:szCs w:val="20"/>
              </w:rPr>
              <w:t>программы</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9"/>
              <w:jc w:val="center"/>
              <w:rPr>
                <w:rFonts w:ascii="Times New Roman" w:hAnsi="Times New Roman" w:cs="Times New Roman"/>
                <w:spacing w:val="-2"/>
                <w:sz w:val="20"/>
                <w:szCs w:val="20"/>
              </w:rPr>
            </w:pPr>
            <w:r>
              <w:rPr>
                <w:rFonts w:cs="Times New Roman" w:ascii="Times New Roman" w:hAnsi="Times New Roman"/>
                <w:sz w:val="20"/>
                <w:szCs w:val="20"/>
              </w:rPr>
              <w:t xml:space="preserve">После реализации </w:t>
            </w:r>
            <w:r>
              <w:rPr>
                <w:rFonts w:cs="Times New Roman" w:ascii="Times New Roman" w:hAnsi="Times New Roman"/>
                <w:spacing w:val="-2"/>
                <w:sz w:val="20"/>
                <w:szCs w:val="20"/>
              </w:rPr>
              <w:t>программы</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339" w:hRule="atLeast"/>
        </w:trPr>
        <w:tc>
          <w:tcPr>
            <w:tcW w:w="960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413"/>
              <w:rPr>
                <w:rFonts w:ascii="Times New Roman" w:hAnsi="Times New Roman" w:cs="Times New Roman"/>
                <w:sz w:val="20"/>
                <w:szCs w:val="20"/>
              </w:rPr>
            </w:pPr>
            <w:r>
              <w:rPr>
                <w:rFonts w:cs="Times New Roman" w:ascii="Times New Roman" w:hAnsi="Times New Roman"/>
                <w:sz w:val="20"/>
                <w:szCs w:val="20"/>
              </w:rPr>
              <w:t>1. Доступность услуги (обеспеченность) для населения, %</w:t>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Централизованное электроснабжение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2" w:right="674"/>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7" w:right="960"/>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93"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33" w:after="0"/>
              <w:ind w:left="107"/>
              <w:rPr>
                <w:rFonts w:ascii="Times New Roman" w:hAnsi="Times New Roman" w:cs="Times New Roman"/>
                <w:sz w:val="20"/>
                <w:szCs w:val="20"/>
              </w:rPr>
            </w:pPr>
            <w:r>
              <w:rPr>
                <w:rFonts w:cs="Times New Roman" w:ascii="Times New Roman" w:hAnsi="Times New Roman"/>
                <w:sz w:val="20"/>
                <w:szCs w:val="20"/>
              </w:rPr>
              <w:t>Централизованное водоснабжение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648" w:right="674"/>
              <w:jc w:val="center"/>
              <w:rPr>
                <w:rFonts w:ascii="Times New Roman" w:hAnsi="Times New Roman" w:cs="Times New Roman"/>
                <w:spacing w:val="-4"/>
                <w:sz w:val="20"/>
                <w:szCs w:val="20"/>
              </w:rPr>
            </w:pPr>
            <w:r>
              <w:rPr>
                <w:rFonts w:cs="Times New Roman" w:ascii="Times New Roman" w:hAnsi="Times New Roman"/>
                <w:spacing w:val="-4"/>
                <w:sz w:val="20"/>
                <w:szCs w:val="20"/>
              </w:rPr>
              <w:t>89,6</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937" w:right="960"/>
              <w:jc w:val="center"/>
              <w:rPr>
                <w:rFonts w:ascii="Times New Roman" w:hAnsi="Times New Roman" w:cs="Times New Roman"/>
                <w:spacing w:val="-6"/>
                <w:sz w:val="20"/>
                <w:szCs w:val="20"/>
              </w:rPr>
            </w:pPr>
            <w:r>
              <w:rPr>
                <w:rFonts w:cs="Times New Roman" w:ascii="Times New Roman" w:hAnsi="Times New Roman"/>
                <w:spacing w:val="-6"/>
                <w:sz w:val="20"/>
                <w:szCs w:val="20"/>
              </w:rPr>
              <w:t>92</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Централизованное водоотведение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2" w:right="674"/>
              <w:jc w:val="center"/>
              <w:rPr>
                <w:rFonts w:ascii="Times New Roman" w:hAnsi="Times New Roman" w:cs="Times New Roman"/>
                <w:spacing w:val="-6"/>
                <w:sz w:val="20"/>
                <w:szCs w:val="20"/>
              </w:rPr>
            </w:pPr>
            <w:r>
              <w:rPr>
                <w:rFonts w:cs="Times New Roman" w:ascii="Times New Roman" w:hAnsi="Times New Roman"/>
                <w:spacing w:val="-6"/>
                <w:sz w:val="20"/>
                <w:szCs w:val="20"/>
              </w:rPr>
              <w:t>43</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7" w:right="960"/>
              <w:jc w:val="center"/>
              <w:rPr>
                <w:rFonts w:ascii="Times New Roman" w:hAnsi="Times New Roman" w:cs="Times New Roman"/>
                <w:spacing w:val="-6"/>
                <w:sz w:val="20"/>
                <w:szCs w:val="20"/>
              </w:rPr>
            </w:pPr>
            <w:r>
              <w:rPr>
                <w:rFonts w:cs="Times New Roman" w:ascii="Times New Roman" w:hAnsi="Times New Roman"/>
                <w:spacing w:val="-6"/>
                <w:sz w:val="20"/>
                <w:szCs w:val="20"/>
              </w:rPr>
              <w:t>43</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Централизованное теплоснабжение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2" w:right="674"/>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7" w:right="960"/>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3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107"/>
              <w:rPr>
                <w:rFonts w:ascii="Times New Roman" w:hAnsi="Times New Roman" w:cs="Times New Roman"/>
                <w:sz w:val="20"/>
                <w:szCs w:val="20"/>
              </w:rPr>
            </w:pPr>
            <w:r>
              <w:rPr>
                <w:rFonts w:cs="Times New Roman" w:ascii="Times New Roman" w:hAnsi="Times New Roman"/>
                <w:sz w:val="20"/>
                <w:szCs w:val="20"/>
              </w:rPr>
              <w:t>Централизованное газоснабжение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652" w:right="674"/>
              <w:jc w:val="center"/>
              <w:rPr>
                <w:rFonts w:ascii="Times New Roman" w:hAnsi="Times New Roman" w:cs="Times New Roman"/>
                <w:spacing w:val="-6"/>
                <w:sz w:val="20"/>
                <w:szCs w:val="20"/>
              </w:rPr>
            </w:pPr>
            <w:r>
              <w:rPr>
                <w:rFonts w:cs="Times New Roman" w:ascii="Times New Roman" w:hAnsi="Times New Roman"/>
                <w:spacing w:val="-6"/>
                <w:sz w:val="20"/>
                <w:szCs w:val="20"/>
              </w:rPr>
              <w:t>97</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937" w:right="960"/>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65"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Сбор и вывоз ТКО</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2" w:right="674"/>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7" w:right="960"/>
              <w:jc w:val="center"/>
              <w:rPr>
                <w:rFonts w:ascii="Times New Roman" w:hAnsi="Times New Roman" w:cs="Times New Roman"/>
                <w:spacing w:val="-4"/>
                <w:sz w:val="20"/>
                <w:szCs w:val="20"/>
              </w:rPr>
            </w:pPr>
            <w:r>
              <w:rPr>
                <w:rFonts w:cs="Times New Roman" w:ascii="Times New Roman" w:hAnsi="Times New Roman"/>
                <w:spacing w:val="-4"/>
                <w:sz w:val="20"/>
                <w:szCs w:val="20"/>
              </w:rPr>
              <w:t>100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960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412" w:right="1782"/>
              <w:jc w:val="center"/>
              <w:rPr>
                <w:rFonts w:ascii="Times New Roman" w:hAnsi="Times New Roman" w:cs="Times New Roman"/>
                <w:sz w:val="20"/>
                <w:szCs w:val="20"/>
              </w:rPr>
            </w:pPr>
            <w:r>
              <w:rPr>
                <w:rFonts w:cs="Times New Roman" w:ascii="Times New Roman" w:hAnsi="Times New Roman"/>
                <w:sz w:val="20"/>
                <w:szCs w:val="20"/>
              </w:rPr>
              <w:t>2.Спрос на коммунальные ресурсы</w:t>
            </w:r>
          </w:p>
        </w:tc>
      </w:tr>
      <w:tr>
        <w:trPr>
          <w:trHeight w:val="423"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7" w:after="0"/>
              <w:ind w:left="107"/>
              <w:rPr>
                <w:rFonts w:ascii="Times New Roman" w:hAnsi="Times New Roman" w:cs="Times New Roman"/>
                <w:sz w:val="20"/>
                <w:szCs w:val="20"/>
              </w:rPr>
            </w:pPr>
            <w:r>
              <w:rPr>
                <w:rFonts w:cs="Times New Roman" w:ascii="Times New Roman" w:hAnsi="Times New Roman"/>
                <w:sz w:val="20"/>
                <w:szCs w:val="20"/>
              </w:rPr>
              <w:t>Электроснабжение (Годовой расход ЭЭ, тыс. кВт час)</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4"/>
              <w:jc w:val="center"/>
              <w:rPr>
                <w:rFonts w:ascii="Times New Roman" w:hAnsi="Times New Roman" w:cs="Times New Roman"/>
                <w:spacing w:val="-2"/>
                <w:sz w:val="20"/>
                <w:szCs w:val="20"/>
              </w:rPr>
            </w:pPr>
            <w:r>
              <w:rPr>
                <w:rFonts w:cs="Times New Roman" w:ascii="Times New Roman" w:hAnsi="Times New Roman"/>
                <w:spacing w:val="-2"/>
                <w:sz w:val="20"/>
                <w:szCs w:val="20"/>
              </w:rPr>
              <w:t>62607,66</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71998,8</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4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4" w:after="0"/>
              <w:ind w:left="107"/>
              <w:rPr>
                <w:rFonts w:ascii="Times New Roman" w:hAnsi="Times New Roman" w:cs="Times New Roman"/>
                <w:sz w:val="20"/>
                <w:szCs w:val="20"/>
              </w:rPr>
            </w:pPr>
            <w:r>
              <w:rPr>
                <w:rFonts w:cs="Times New Roman" w:ascii="Times New Roman" w:hAnsi="Times New Roman"/>
                <w:sz w:val="20"/>
                <w:szCs w:val="20"/>
              </w:rPr>
              <w:t>Теплоснабжение (тыс. Гкал/год)</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4"/>
              <w:jc w:val="center"/>
              <w:rPr>
                <w:rFonts w:ascii="Times New Roman" w:hAnsi="Times New Roman" w:cs="Times New Roman"/>
                <w:spacing w:val="-2"/>
                <w:sz w:val="20"/>
                <w:szCs w:val="20"/>
              </w:rPr>
            </w:pPr>
            <w:r>
              <w:rPr>
                <w:rFonts w:cs="Times New Roman" w:ascii="Times New Roman" w:hAnsi="Times New Roman"/>
                <w:spacing w:val="-2"/>
                <w:sz w:val="20"/>
                <w:szCs w:val="20"/>
              </w:rPr>
              <w:t>79,38897</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79,38897</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4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7" w:after="0"/>
              <w:ind w:left="107"/>
              <w:rPr>
                <w:rFonts w:ascii="Times New Roman" w:hAnsi="Times New Roman" w:cs="Times New Roman"/>
                <w:sz w:val="20"/>
                <w:szCs w:val="20"/>
              </w:rPr>
            </w:pPr>
            <w:r>
              <w:rPr>
                <w:rFonts w:cs="Times New Roman" w:ascii="Times New Roman" w:hAnsi="Times New Roman"/>
                <w:sz w:val="20"/>
                <w:szCs w:val="20"/>
              </w:rPr>
              <w:t>Водоснабжение (тыс. м³)</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4"/>
              <w:jc w:val="center"/>
              <w:rPr>
                <w:rFonts w:ascii="Times New Roman" w:hAnsi="Times New Roman" w:cs="Times New Roman"/>
                <w:spacing w:val="-2"/>
                <w:sz w:val="20"/>
                <w:szCs w:val="20"/>
              </w:rPr>
            </w:pPr>
            <w:r>
              <w:rPr>
                <w:rFonts w:cs="Times New Roman" w:ascii="Times New Roman" w:hAnsi="Times New Roman"/>
                <w:spacing w:val="-2"/>
                <w:sz w:val="20"/>
                <w:szCs w:val="20"/>
              </w:rPr>
              <w:t>3913,282</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4500,263</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4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7" w:after="0"/>
              <w:ind w:left="107"/>
              <w:rPr>
                <w:rFonts w:ascii="Times New Roman" w:hAnsi="Times New Roman" w:cs="Times New Roman"/>
                <w:sz w:val="20"/>
                <w:szCs w:val="20"/>
              </w:rPr>
            </w:pPr>
            <w:r>
              <w:rPr>
                <w:rFonts w:cs="Times New Roman" w:ascii="Times New Roman" w:hAnsi="Times New Roman"/>
                <w:sz w:val="20"/>
                <w:szCs w:val="20"/>
              </w:rPr>
              <w:t>Водоотведение (тыс. м³)</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2"/>
              <w:jc w:val="center"/>
              <w:rPr>
                <w:rFonts w:ascii="Times New Roman" w:hAnsi="Times New Roman" w:cs="Times New Roman"/>
                <w:spacing w:val="-2"/>
                <w:sz w:val="20"/>
                <w:szCs w:val="20"/>
              </w:rPr>
            </w:pPr>
            <w:r>
              <w:rPr>
                <w:rFonts w:cs="Times New Roman" w:ascii="Times New Roman" w:hAnsi="Times New Roman"/>
                <w:spacing w:val="-2"/>
                <w:sz w:val="20"/>
                <w:szCs w:val="20"/>
              </w:rPr>
              <w:t>1,2751</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1,2751</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4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7" w:after="0"/>
              <w:ind w:left="107"/>
              <w:rPr>
                <w:rFonts w:ascii="Times New Roman" w:hAnsi="Times New Roman" w:cs="Times New Roman"/>
                <w:sz w:val="20"/>
                <w:szCs w:val="20"/>
              </w:rPr>
            </w:pPr>
            <w:r>
              <w:rPr>
                <w:rFonts w:cs="Times New Roman" w:ascii="Times New Roman" w:hAnsi="Times New Roman"/>
                <w:sz w:val="20"/>
                <w:szCs w:val="20"/>
              </w:rPr>
              <w:t>Газоснабжение централизованное (тыс. м</w:t>
            </w:r>
            <w:r>
              <w:rPr>
                <w:rFonts w:cs="Times New Roman" w:ascii="Times New Roman" w:hAnsi="Times New Roman"/>
                <w:sz w:val="20"/>
                <w:szCs w:val="20"/>
                <w:vertAlign w:val="superscript"/>
              </w:rPr>
              <w:t>3</w:t>
            </w:r>
            <w:r>
              <w:rPr>
                <w:rFonts w:cs="Times New Roman" w:ascii="Times New Roman" w:hAnsi="Times New Roman"/>
                <w:sz w:val="20"/>
                <w:szCs w:val="20"/>
              </w:rPr>
              <w:t xml:space="preserve"> /год)</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4"/>
              <w:jc w:val="center"/>
              <w:rPr>
                <w:rFonts w:ascii="Times New Roman" w:hAnsi="Times New Roman" w:cs="Times New Roman"/>
                <w:spacing w:val="-2"/>
                <w:sz w:val="20"/>
                <w:szCs w:val="20"/>
              </w:rPr>
            </w:pPr>
            <w:r>
              <w:rPr>
                <w:rFonts w:cs="Times New Roman" w:ascii="Times New Roman" w:hAnsi="Times New Roman"/>
                <w:spacing w:val="-2"/>
                <w:sz w:val="20"/>
                <w:szCs w:val="20"/>
              </w:rPr>
              <w:t>63699,63</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73254,59</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43"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7" w:after="0"/>
              <w:ind w:left="107"/>
              <w:rPr>
                <w:rFonts w:ascii="Times New Roman" w:hAnsi="Times New Roman" w:cs="Times New Roman"/>
                <w:sz w:val="20"/>
                <w:szCs w:val="20"/>
              </w:rPr>
            </w:pPr>
            <w:r>
              <w:rPr>
                <w:rFonts w:cs="Times New Roman" w:ascii="Times New Roman" w:hAnsi="Times New Roman"/>
                <w:sz w:val="20"/>
                <w:szCs w:val="20"/>
              </w:rPr>
              <w:t>Сбор и вывоз ТКО (тыс. м3/год)</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3" w:right="674"/>
              <w:jc w:val="center"/>
              <w:rPr>
                <w:rFonts w:ascii="Times New Roman" w:hAnsi="Times New Roman" w:cs="Times New Roman"/>
                <w:spacing w:val="-2"/>
                <w:sz w:val="20"/>
                <w:szCs w:val="20"/>
              </w:rPr>
            </w:pPr>
            <w:r>
              <w:rPr>
                <w:rFonts w:cs="Times New Roman" w:ascii="Times New Roman" w:hAnsi="Times New Roman"/>
                <w:spacing w:val="-2"/>
                <w:sz w:val="20"/>
                <w:szCs w:val="20"/>
              </w:rPr>
              <w:t>369,2783</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3" w:right="71"/>
              <w:jc w:val="center"/>
              <w:rPr>
                <w:rFonts w:ascii="Times New Roman" w:hAnsi="Times New Roman" w:cs="Times New Roman"/>
                <w:spacing w:val="-2"/>
                <w:sz w:val="20"/>
                <w:szCs w:val="20"/>
              </w:rPr>
            </w:pPr>
            <w:r>
              <w:rPr>
                <w:rFonts w:cs="Times New Roman" w:ascii="Times New Roman" w:hAnsi="Times New Roman"/>
                <w:spacing w:val="-2"/>
                <w:sz w:val="20"/>
                <w:szCs w:val="20"/>
              </w:rPr>
              <w:t>381,852</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960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490"/>
              <w:rPr>
                <w:rFonts w:ascii="Times New Roman" w:hAnsi="Times New Roman" w:cs="Times New Roman"/>
                <w:sz w:val="20"/>
                <w:szCs w:val="20"/>
              </w:rPr>
            </w:pPr>
            <w:r>
              <w:rPr>
                <w:rFonts w:cs="Times New Roman" w:ascii="Times New Roman" w:hAnsi="Times New Roman"/>
                <w:sz w:val="20"/>
                <w:szCs w:val="20"/>
              </w:rPr>
              <w:t>3. Показатель надежности (количество аварий на сетях)</w:t>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pacing w:val="-2"/>
                <w:sz w:val="20"/>
                <w:szCs w:val="20"/>
              </w:rPr>
              <w:t>Электроснабжение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52" w:right="674"/>
              <w:jc w:val="center"/>
              <w:rPr>
                <w:rFonts w:ascii="Times New Roman" w:hAnsi="Times New Roman" w:cs="Times New Roman"/>
                <w:spacing w:val="-6"/>
                <w:sz w:val="20"/>
                <w:szCs w:val="20"/>
              </w:rPr>
            </w:pPr>
            <w:r>
              <w:rPr>
                <w:rFonts w:cs="Times New Roman" w:ascii="Times New Roman" w:hAnsi="Times New Roman"/>
                <w:spacing w:val="-6"/>
                <w:sz w:val="20"/>
                <w:szCs w:val="20"/>
              </w:rPr>
              <w:t>20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7" w:right="960"/>
              <w:jc w:val="center"/>
              <w:rPr>
                <w:rFonts w:ascii="Times New Roman" w:hAnsi="Times New Roman" w:cs="Times New Roman"/>
                <w:spacing w:val="-6"/>
                <w:sz w:val="20"/>
                <w:szCs w:val="20"/>
              </w:rPr>
            </w:pPr>
            <w:r>
              <w:rPr>
                <w:rFonts w:cs="Times New Roman" w:ascii="Times New Roman" w:hAnsi="Times New Roman"/>
                <w:spacing w:val="-6"/>
                <w:sz w:val="20"/>
                <w:szCs w:val="20"/>
              </w:rPr>
              <w:t>20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31"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107"/>
              <w:rPr>
                <w:rFonts w:ascii="Times New Roman" w:hAnsi="Times New Roman" w:cs="Times New Roman"/>
                <w:spacing w:val="-2"/>
                <w:sz w:val="20"/>
                <w:szCs w:val="20"/>
              </w:rPr>
            </w:pPr>
            <w:r>
              <w:rPr>
                <w:rFonts w:cs="Times New Roman" w:ascii="Times New Roman" w:hAnsi="Times New Roman"/>
                <w:spacing w:val="-2"/>
                <w:sz w:val="20"/>
                <w:szCs w:val="20"/>
              </w:rPr>
              <w:t>Водоснабжение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652" w:right="674"/>
              <w:jc w:val="center"/>
              <w:rPr>
                <w:rFonts w:ascii="Times New Roman" w:hAnsi="Times New Roman" w:cs="Times New Roman"/>
                <w:spacing w:val="-6"/>
                <w:sz w:val="20"/>
                <w:szCs w:val="20"/>
              </w:rPr>
            </w:pPr>
            <w:r>
              <w:rPr>
                <w:rFonts w:cs="Times New Roman" w:ascii="Times New Roman" w:hAnsi="Times New Roman"/>
                <w:spacing w:val="-6"/>
                <w:sz w:val="20"/>
                <w:szCs w:val="20"/>
              </w:rPr>
              <w:t>10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right="29"/>
              <w:jc w:val="center"/>
              <w:rPr>
                <w:rFonts w:ascii="Times New Roman" w:hAnsi="Times New Roman" w:cs="Times New Roman"/>
                <w:w w:val="99"/>
                <w:sz w:val="20"/>
                <w:szCs w:val="20"/>
              </w:rPr>
            </w:pPr>
            <w:r>
              <w:rPr>
                <w:rFonts w:cs="Times New Roman" w:ascii="Times New Roman" w:hAnsi="Times New Roman"/>
                <w:w w:val="99"/>
                <w:sz w:val="20"/>
                <w:szCs w:val="20"/>
              </w:rPr>
              <w:t>3</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pacing w:val="-2"/>
                <w:sz w:val="20"/>
                <w:szCs w:val="20"/>
              </w:rPr>
              <w:t>Водоотведение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8"/>
              <w:jc w:val="center"/>
              <w:rPr>
                <w:rFonts w:ascii="Times New Roman" w:hAnsi="Times New Roman" w:cs="Times New Roman"/>
                <w:w w:val="99"/>
                <w:sz w:val="20"/>
                <w:szCs w:val="20"/>
              </w:rPr>
            </w:pPr>
            <w:r>
              <w:rPr>
                <w:rFonts w:cs="Times New Roman" w:ascii="Times New Roman" w:hAnsi="Times New Roman"/>
                <w:w w:val="99"/>
                <w:sz w:val="20"/>
                <w:szCs w:val="20"/>
              </w:rPr>
              <w:t>2</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9"/>
              <w:jc w:val="center"/>
              <w:rPr>
                <w:rFonts w:ascii="Times New Roman" w:hAnsi="Times New Roman" w:cs="Times New Roman"/>
                <w:w w:val="99"/>
                <w:sz w:val="20"/>
                <w:szCs w:val="20"/>
              </w:rPr>
            </w:pPr>
            <w:r>
              <w:rPr>
                <w:rFonts w:cs="Times New Roman" w:ascii="Times New Roman" w:hAnsi="Times New Roman"/>
                <w:w w:val="99"/>
                <w:sz w:val="20"/>
                <w:szCs w:val="20"/>
              </w:rPr>
              <w:t>2</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29"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pacing w:val="-2"/>
                <w:sz w:val="20"/>
                <w:szCs w:val="20"/>
              </w:rPr>
              <w:t>Теплоснабжение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8"/>
              <w:jc w:val="center"/>
              <w:rPr>
                <w:rFonts w:ascii="Times New Roman" w:hAnsi="Times New Roman" w:cs="Times New Roman"/>
                <w:w w:val="99"/>
                <w:sz w:val="20"/>
                <w:szCs w:val="20"/>
              </w:rPr>
            </w:pPr>
            <w:r>
              <w:rPr>
                <w:rFonts w:cs="Times New Roman" w:ascii="Times New Roman" w:hAnsi="Times New Roman"/>
                <w:w w:val="99"/>
                <w:sz w:val="20"/>
                <w:szCs w:val="20"/>
              </w:rPr>
              <w:t>2</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9"/>
              <w:jc w:val="center"/>
              <w:rPr>
                <w:rFonts w:ascii="Times New Roman" w:hAnsi="Times New Roman" w:cs="Times New Roman"/>
                <w:w w:val="99"/>
                <w:sz w:val="20"/>
                <w:szCs w:val="20"/>
              </w:rPr>
            </w:pPr>
            <w:r>
              <w:rPr>
                <w:rFonts w:cs="Times New Roman" w:ascii="Times New Roman" w:hAnsi="Times New Roman"/>
                <w:w w:val="99"/>
                <w:sz w:val="20"/>
                <w:szCs w:val="20"/>
              </w:rPr>
              <w:t>2</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r>
        <w:trPr>
          <w:trHeight w:val="293"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left="107"/>
              <w:rPr>
                <w:rFonts w:ascii="Times New Roman" w:hAnsi="Times New Roman" w:cs="Times New Roman"/>
                <w:spacing w:val="-2"/>
                <w:sz w:val="20"/>
                <w:szCs w:val="20"/>
              </w:rPr>
            </w:pPr>
            <w:r>
              <w:rPr>
                <w:rFonts w:cs="Times New Roman" w:ascii="Times New Roman" w:hAnsi="Times New Roman"/>
                <w:spacing w:val="-2"/>
                <w:sz w:val="20"/>
                <w:szCs w:val="20"/>
              </w:rPr>
              <w:t>Газоснабжение</w:t>
            </w:r>
          </w:p>
        </w:tc>
        <w:tc>
          <w:tcPr>
            <w:tcW w:w="29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right="28"/>
              <w:jc w:val="center"/>
              <w:rPr>
                <w:rFonts w:ascii="Times New Roman" w:hAnsi="Times New Roman" w:cs="Times New Roman"/>
                <w:w w:val="99"/>
                <w:sz w:val="20"/>
                <w:szCs w:val="20"/>
              </w:rPr>
            </w:pPr>
            <w:r>
              <w:rPr>
                <w:rFonts w:cs="Times New Roman" w:ascii="Times New Roman" w:hAnsi="Times New Roman"/>
                <w:w w:val="99"/>
                <w:sz w:val="20"/>
                <w:szCs w:val="20"/>
              </w:rPr>
              <w:t>0</w:t>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2" w:after="0"/>
              <w:ind w:right="29"/>
              <w:jc w:val="center"/>
              <w:rPr>
                <w:rFonts w:ascii="Times New Roman" w:hAnsi="Times New Roman" w:cs="Times New Roman"/>
                <w:w w:val="99"/>
                <w:sz w:val="20"/>
                <w:szCs w:val="20"/>
              </w:rPr>
            </w:pPr>
            <w:r>
              <w:rPr>
                <w:rFonts w:cs="Times New Roman" w:ascii="Times New Roman" w:hAnsi="Times New Roman"/>
                <w:w w:val="99"/>
                <w:sz w:val="20"/>
                <w:szCs w:val="20"/>
              </w:rPr>
              <w:t>0</w:t>
            </w:r>
          </w:p>
        </w:tc>
        <w:tc>
          <w:tcPr>
            <w:tcW w:w="29" w:type="dxa"/>
            <w:tcBorders/>
          </w:tcPr>
          <w:p>
            <w:pPr>
              <w:pStyle w:val="Normal"/>
              <w:spacing w:lineRule="auto" w:line="240" w:before="0" w:after="160"/>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Доступность услуг (обеспеченность) для населения.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Этот блок показателей отражает степень охвата населения базовыми коммунальными услугами.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Централизованное электроснабжение (100 % → 100 %). Сохранение показателя на максимальном уровне свидетельствует о том, что система электроснабжения уже охватывает всю территорию округа. Задача программы — не расширение сети, а повышение её надёжности и энергоэффективности.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Централизованное водоснабжение (89,6 % → 92 %). Рост обеспеченности на 2,4 п. п. обусловлен планируемым строительством новых водопроводных сетей в отдалённых населённых пунктах и подключением новых жилых комплексов.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Централизованное водоотведение (43 % → 43 %). Отсутствие роста показателя объясняется приоритетом других направлений модернизации. В ближайшей перспективе основное внимание будет уделено повышению эффективности уже существующих 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Централизованное теплоснабжение (100 % → 100 %). Система теплоснабжения уже обеспечивает все нуждающиеся объекты. Дальнейшее развитие будет направлено на снижение тепловых потерь и повышение энергоэффективности котельных.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Централизованное газоснабжение (97 % → 100 %). Полное обеспечение газом достигается за счёт прокладки распределительных газопроводов в населённых пунктах, где пока отсутствует централизованная подача. Это повысит комфорт проживания и позволит отказаться от менее эффективных видов топлива.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Сбор и вывоз ТКО (100 % → 100 %). Услуга доступна для всего населения округа. Дальнейшая работа будет сосредоточена на совершенствовании логистики вывоза отходов и внедрении раздельного сбора.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Спрос на коммунальные ресурсы.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Показатели этого блока отражают прогнозируемый объём потребления ресурсов с учётом социально</w:t>
        <w:noBreakHyphen/>
        <w:t>экономического развития округа.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Электроснабжение (62 607,66 → 71 998,8 тыс. кВт·ч). Рост годового расхода электроэнергии на 15 % обусловлен: вводом в эксплуатацию новых жилых домов; развитием малого и среднего бизнеса; увеличением оснащённости домохозяйств бытовой техникой.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Теплоснабжение (79,38897 тыс. Гкал/год → без изменений). Стабильный уровень спроса объясняется отсутствием значительного прироста отапливаемых площадей. Модернизация сетей позволит сократить потери без увеличения общего объёма потребления.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Водоснабжение (3 913,282 → 4 500,263 тыс. м³). Увеличение потребности в воде на 15 % связано с ростом численности населения и развитием социальной инфраструктуры (школы, больницы, спортивные комплексы).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Водоотведение (1,2751 тыс. м³ → без изменений). Сохранение текущего уровня потребления объясняется отсутствием масштабного строительства новых объектов с повышенными потребностями в водоотведении.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Газоснабжение централизованное (63 699,63 → 73 254,59 тыс. м³/год). Рост спроса на 15 % вызван: подключением новых абонентов; переводом котельных на газовое топливо; увеличением использования газа в быту.</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Сбор и вывоз ТКО (369,2783 → 381,852 тыс. м³/год). Незначительный прирост объёма отходов (3,4 %) обусловлен ростом населения и повышением уровня потребления. Оптимизация логистики позволит избежать перегрузки существующих полигонов.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 Показатель надёжности (количество аварий на сетях).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Данные показатели характеризуют устойчивость работы коммунальной инфраструктуры.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Электроснабжение (20 → 20 аварий/год). Сохранение количества аварий на прежнем уровне требует внедрения систем мониторинга и плановой замены изношенных участков сетей.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Водоснабжение (10 → 3 аварии/год). Сокращение аварийности на 70 % достигается за счёт: замены ветхих водопроводных труб; установки современного запорного оборудования; внедрения систем раннего обнаружения утечек.</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Водоотведение (2 → 2 аварии/год). Показатель остаётся стабильным благодаря плановому обслуживанию существующих сетей. Масштабная реконструкция не требуется.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Теплоснабжение (2 → 2 аварии/год). Поддержание текущего уровня аварийности возможно при условии своевременного ремонта котельных и тепловых магистралей.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Газоснабжение (0 → 0 аварий/год). Нулевой показатель аварийности планируется сохранить за счёт: регулярного технического обслуживания газопроводов; внедрения автоматизированных систем контроля; обучения персонала.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Реализация программы позволит:</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повысить доступность коммунальных услуг (особенно в сфере газоснабжения и водоснабжения);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обеспечить плановый рост потребления ресурсов в соответствии с потребностями развивающегося округа;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значительно сократить аварийность на сетях водоснабжения, что улучшит качество жизни жителей;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сохранить стабильность в наиболее критичных сегментах (теплоснабжение, электроснабжение, водоотведение).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Достижение целевых показателей будет осуществляться за счёт комплексного подхода, включающего модернизацию инфраструктуры, внедрение цифровых технологий мониторинга и оптимизацию эксплуатационных процессов.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240" w:before="0" w:after="0"/>
        <w:jc w:val="center"/>
        <w:rPr>
          <w:rFonts w:ascii="Times New Roman" w:hAnsi="Times New Roman" w:cs="Times New Roman"/>
          <w:bCs/>
          <w:color w:val="auto"/>
          <w:sz w:val="24"/>
          <w:szCs w:val="24"/>
        </w:rPr>
      </w:pPr>
      <w:bookmarkStart w:id="60" w:name="_Toc224805173"/>
      <w:r>
        <w:rPr>
          <w:rFonts w:cs="Times New Roman" w:ascii="Times New Roman" w:hAnsi="Times New Roman"/>
          <w:bCs/>
          <w:color w:val="auto"/>
          <w:sz w:val="24"/>
          <w:szCs w:val="24"/>
        </w:rPr>
        <w:t>6. ПЕРЕЧЕНЬ ИНВЕСТИЦИОННЫХ ПРОЕКТОВ В ОТНОШЕНИИ СООТВЕТСТВУЮЩЕЙ СИСТЕМЫ КОММУНАЛЬНОЙ ИНФРАСТРУКТУРЫ</w:t>
      </w:r>
      <w:bookmarkEnd w:id="60"/>
    </w:p>
    <w:p>
      <w:pPr>
        <w:pStyle w:val="Normal"/>
        <w:spacing w:lineRule="auto" w:line="240" w:before="0" w:after="0"/>
        <w:rPr/>
      </w:pPr>
      <w:r>
        <w:rPr/>
      </w:r>
    </w:p>
    <w:p>
      <w:pPr>
        <w:pStyle w:val="Normal"/>
        <w:spacing w:lineRule="auto" w:line="240" w:before="0" w:after="0"/>
        <w:ind w:firstLine="567"/>
        <w:jc w:val="both"/>
        <w:rPr>
          <w:rFonts w:ascii="Times New Roman" w:hAnsi="Times New Roman" w:cs="Times New Roman"/>
          <w:bCs/>
          <w:sz w:val="24"/>
          <w:szCs w:val="24"/>
          <w:u w:val="single"/>
        </w:rPr>
      </w:pPr>
      <w:r>
        <w:rPr>
          <w:rFonts w:cs="Times New Roman" w:ascii="Times New Roman" w:hAnsi="Times New Roman"/>
          <w:bCs/>
          <w:sz w:val="24"/>
          <w:szCs w:val="24"/>
        </w:rPr>
        <w:t>В области водоснабжения</w:t>
      </w:r>
      <w:r>
        <w:rPr>
          <w:rFonts w:cs="Times New Roman" w:ascii="Times New Roman" w:hAnsi="Times New Roman"/>
          <w:bCs/>
          <w:sz w:val="24"/>
          <w:szCs w:val="24"/>
          <w:u w:val="single"/>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Филиал ГУП СК «Страврополькрайводоканал»-«Северный» ПТП Ипатовское: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реконструкция водовода от НС № 06 с. Кендже-Кулак до а. Шарахалсун, с. Кучерла протяженностью 10,4 км;</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реконструкция водовов от распределительного колодца до НРР а. Шарахалсун и НРР с. Кучерла протяженностью 9,8 км.</w:t>
      </w:r>
    </w:p>
    <w:p>
      <w:pPr>
        <w:pStyle w:val="Normal"/>
        <w:spacing w:lineRule="auto" w:line="240" w:before="0" w:after="0"/>
        <w:ind w:firstLine="567"/>
        <w:jc w:val="both"/>
        <w:rPr>
          <w:rFonts w:ascii="Times New Roman" w:hAnsi="Times New Roman" w:cs="Times New Roman"/>
          <w:bCs/>
          <w:sz w:val="24"/>
          <w:szCs w:val="24"/>
        </w:rPr>
      </w:pPr>
      <w:r>
        <w:rPr>
          <w:rFonts w:cs="Times New Roman" w:ascii="Times New Roman" w:hAnsi="Times New Roman"/>
          <w:bCs/>
          <w:sz w:val="24"/>
          <w:szCs w:val="24"/>
        </w:rPr>
        <w:t>В области водоотведения:</w:t>
      </w:r>
    </w:p>
    <w:p>
      <w:pPr>
        <w:pStyle w:val="Normal"/>
        <w:spacing w:lineRule="auto" w:line="240" w:before="0" w:after="0"/>
        <w:ind w:firstLine="567" w:left="1000" w:right="-1"/>
        <w:jc w:val="right"/>
        <w:rPr>
          <w:rFonts w:ascii="Times New Roman" w:hAnsi="Times New Roman" w:cs="Times New Roman"/>
          <w:sz w:val="24"/>
          <w:szCs w:val="24"/>
        </w:rPr>
      </w:pPr>
      <w:r>
        <w:rPr>
          <w:rFonts w:cs="Times New Roman" w:ascii="Times New Roman" w:hAnsi="Times New Roman"/>
          <w:sz w:val="24"/>
          <w:szCs w:val="24"/>
        </w:rPr>
        <w:t>Таблица 34.</w:t>
      </w:r>
    </w:p>
    <w:p>
      <w:pPr>
        <w:pStyle w:val="Normal"/>
        <w:spacing w:lineRule="auto" w:line="240" w:before="0" w:after="0"/>
        <w:ind w:firstLine="567" w:left="1000" w:right="592"/>
        <w:jc w:val="center"/>
        <w:rPr>
          <w:rFonts w:ascii="Times New Roman" w:hAnsi="Times New Roman" w:cs="Times New Roman"/>
          <w:spacing w:val="-2"/>
          <w:sz w:val="24"/>
          <w:szCs w:val="24"/>
        </w:rPr>
      </w:pPr>
      <w:r>
        <w:rPr>
          <w:rFonts w:cs="Times New Roman" w:ascii="Times New Roman" w:hAnsi="Times New Roman"/>
          <w:sz w:val="24"/>
          <w:szCs w:val="24"/>
        </w:rPr>
        <w:t xml:space="preserve">Перечень основных мероприятий по реализации схемы </w:t>
      </w:r>
      <w:r>
        <w:rPr>
          <w:rFonts w:cs="Times New Roman" w:ascii="Times New Roman" w:hAnsi="Times New Roman"/>
          <w:spacing w:val="-2"/>
          <w:sz w:val="24"/>
          <w:szCs w:val="24"/>
        </w:rPr>
        <w:t>водоотведения</w:t>
      </w:r>
    </w:p>
    <w:tbl>
      <w:tblPr>
        <w:tblW w:w="9641" w:type="dxa"/>
        <w:jc w:val="left"/>
        <w:tblInd w:w="138" w:type="dxa"/>
        <w:tblLayout w:type="fixed"/>
        <w:tblCellMar>
          <w:top w:w="0" w:type="dxa"/>
          <w:left w:w="5" w:type="dxa"/>
          <w:bottom w:w="0" w:type="dxa"/>
          <w:right w:w="5" w:type="dxa"/>
        </w:tblCellMar>
        <w:tblLook w:val="04a0"/>
      </w:tblPr>
      <w:tblGrid>
        <w:gridCol w:w="698"/>
        <w:gridCol w:w="5532"/>
        <w:gridCol w:w="3411"/>
      </w:tblGrid>
      <w:tr>
        <w:trPr>
          <w:trHeight w:val="241"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52" w:left="179"/>
              <w:rPr>
                <w:rFonts w:ascii="Times New Roman" w:hAnsi="Times New Roman" w:cs="Times New Roman"/>
                <w:spacing w:val="-10"/>
                <w:sz w:val="20"/>
                <w:szCs w:val="20"/>
              </w:rPr>
            </w:pPr>
            <w:r>
              <w:rPr>
                <w:rFonts w:cs="Times New Roman" w:ascii="Times New Roman" w:hAnsi="Times New Roman"/>
                <w:spacing w:val="-10"/>
                <w:sz w:val="20"/>
                <w:szCs w:val="20"/>
              </w:rPr>
              <w:t>№</w:t>
            </w:r>
          </w:p>
          <w:p>
            <w:pPr>
              <w:pStyle w:val="Normal"/>
              <w:spacing w:lineRule="auto" w:line="240" w:before="0" w:after="0"/>
              <w:ind w:firstLine="52" w:left="179"/>
              <w:rPr>
                <w:rFonts w:ascii="Times New Roman" w:hAnsi="Times New Roman" w:cs="Times New Roman"/>
                <w:spacing w:val="-4"/>
                <w:sz w:val="20"/>
                <w:szCs w:val="20"/>
              </w:rPr>
            </w:pPr>
            <w:r>
              <w:rPr>
                <w:rFonts w:cs="Times New Roman" w:ascii="Times New Roman" w:hAnsi="Times New Roman"/>
                <w:spacing w:val="-10"/>
                <w:sz w:val="20"/>
                <w:szCs w:val="20"/>
              </w:rPr>
              <w:t xml:space="preserve"> </w:t>
            </w:r>
            <w:r>
              <w:rPr>
                <w:rFonts w:cs="Times New Roman" w:ascii="Times New Roman" w:hAnsi="Times New Roman"/>
                <w:spacing w:val="-4"/>
                <w:sz w:val="20"/>
                <w:szCs w:val="20"/>
              </w:rPr>
              <w:t>п/п</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101" w:right="2080"/>
              <w:jc w:val="center"/>
              <w:rPr>
                <w:rFonts w:ascii="Times New Roman" w:hAnsi="Times New Roman" w:cs="Times New Roman"/>
                <w:sz w:val="20"/>
                <w:szCs w:val="20"/>
              </w:rPr>
            </w:pPr>
            <w:r>
              <w:rPr>
                <w:rFonts w:cs="Times New Roman" w:ascii="Times New Roman" w:hAnsi="Times New Roman"/>
                <w:sz w:val="20"/>
                <w:szCs w:val="20"/>
              </w:rPr>
              <w:t>Виды работ</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702"/>
              <w:jc w:val="center"/>
              <w:rPr>
                <w:rFonts w:ascii="Times New Roman" w:hAnsi="Times New Roman" w:cs="Times New Roman"/>
                <w:sz w:val="20"/>
                <w:szCs w:val="20"/>
              </w:rPr>
            </w:pPr>
            <w:r>
              <w:rPr>
                <w:rFonts w:cs="Times New Roman" w:ascii="Times New Roman" w:hAnsi="Times New Roman"/>
                <w:sz w:val="20"/>
                <w:szCs w:val="20"/>
              </w:rPr>
              <w:t>Годы реализации</w:t>
            </w:r>
          </w:p>
        </w:tc>
      </w:tr>
      <w:tr>
        <w:trPr>
          <w:trHeight w:val="131"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1</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3"/>
              <w:jc w:val="center"/>
              <w:rPr>
                <w:rFonts w:ascii="Times New Roman" w:hAnsi="Times New Roman" w:cs="Times New Roman"/>
                <w:sz w:val="20"/>
                <w:szCs w:val="20"/>
              </w:rPr>
            </w:pPr>
            <w:r>
              <w:rPr>
                <w:rFonts w:cs="Times New Roman" w:ascii="Times New Roman" w:hAnsi="Times New Roman"/>
                <w:sz w:val="20"/>
                <w:szCs w:val="20"/>
              </w:rPr>
              <w:t>2</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5"/>
              <w:jc w:val="center"/>
              <w:rPr>
                <w:rFonts w:ascii="Times New Roman" w:hAnsi="Times New Roman" w:cs="Times New Roman"/>
                <w:sz w:val="20"/>
                <w:szCs w:val="20"/>
              </w:rPr>
            </w:pPr>
            <w:r>
              <w:rPr>
                <w:rFonts w:cs="Times New Roman" w:ascii="Times New Roman" w:hAnsi="Times New Roman"/>
                <w:sz w:val="20"/>
                <w:szCs w:val="20"/>
              </w:rPr>
              <w:t>3</w:t>
            </w:r>
          </w:p>
        </w:tc>
      </w:tr>
      <w:tr>
        <w:trPr>
          <w:trHeight w:val="287" w:hRule="atLeast"/>
        </w:trPr>
        <w:tc>
          <w:tcPr>
            <w:tcW w:w="9641"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71" w:right="1246"/>
              <w:jc w:val="center"/>
              <w:rPr>
                <w:rFonts w:ascii="Times New Roman" w:hAnsi="Times New Roman" w:cs="Times New Roman"/>
                <w:bCs/>
                <w:sz w:val="20"/>
                <w:szCs w:val="20"/>
              </w:rPr>
            </w:pPr>
            <w:r>
              <w:rPr>
                <w:rFonts w:cs="Times New Roman" w:ascii="Times New Roman" w:hAnsi="Times New Roman"/>
                <w:bCs/>
                <w:sz w:val="20"/>
                <w:szCs w:val="20"/>
              </w:rPr>
              <w:t>ГУП Ставрополькрайводоканал «Северный» -ПТП Ипатовское</w:t>
            </w:r>
          </w:p>
        </w:tc>
      </w:tr>
      <w:tr>
        <w:trPr>
          <w:trHeight w:val="416"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1</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Реконструкция сетей центрального водоотведения в п.</w:t>
            </w:r>
          </w:p>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Красный Маныч</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697"/>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279"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2</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vertAlign w:val="superscript"/>
              </w:rPr>
            </w:pPr>
            <w:r>
              <w:rPr>
                <w:rFonts w:cs="Times New Roman" w:ascii="Times New Roman" w:hAnsi="Times New Roman"/>
                <w:sz w:val="20"/>
                <w:szCs w:val="20"/>
              </w:rPr>
              <w:t>Строительство очистных сооружений в п. Ясный мощностью 100 м</w:t>
            </w:r>
            <w:r>
              <w:rPr>
                <w:rFonts w:cs="Times New Roman" w:ascii="Times New Roman" w:hAnsi="Times New Roman"/>
                <w:sz w:val="20"/>
                <w:szCs w:val="20"/>
                <w:vertAlign w:val="superscript"/>
              </w:rPr>
              <w:t>3</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697"/>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128"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3</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Строительство КНС в п. Ясный</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697"/>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201"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4</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Строительство напорного коллектора в п. Ясный протяженностью 1000 м.</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697"/>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r>
        <w:trPr>
          <w:trHeight w:val="316" w:hRule="atLeast"/>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6"/>
              <w:jc w:val="center"/>
              <w:rPr>
                <w:rFonts w:ascii="Times New Roman" w:hAnsi="Times New Roman" w:cs="Times New Roman"/>
                <w:sz w:val="20"/>
                <w:szCs w:val="20"/>
              </w:rPr>
            </w:pPr>
            <w:r>
              <w:rPr>
                <w:rFonts w:cs="Times New Roman" w:ascii="Times New Roman" w:hAnsi="Times New Roman"/>
                <w:sz w:val="20"/>
                <w:szCs w:val="20"/>
              </w:rPr>
              <w:t>5</w:t>
            </w:r>
          </w:p>
        </w:tc>
        <w:tc>
          <w:tcPr>
            <w:tcW w:w="55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Строительство сбросного коллектора в п. Ясный протяженностью 1000 м.</w:t>
            </w:r>
          </w:p>
        </w:tc>
        <w:tc>
          <w:tcPr>
            <w:tcW w:w="34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24" w:right="697"/>
              <w:jc w:val="center"/>
              <w:rPr>
                <w:rFonts w:ascii="Times New Roman" w:hAnsi="Times New Roman" w:cs="Times New Roman"/>
                <w:spacing w:val="-2"/>
                <w:sz w:val="20"/>
                <w:szCs w:val="20"/>
              </w:rPr>
            </w:pPr>
            <w:r>
              <w:rPr>
                <w:rFonts w:cs="Times New Roman" w:ascii="Times New Roman" w:hAnsi="Times New Roman"/>
                <w:spacing w:val="-2"/>
                <w:sz w:val="20"/>
                <w:szCs w:val="20"/>
              </w:rPr>
              <w:t>2026-2034</w:t>
            </w:r>
          </w:p>
        </w:tc>
      </w:tr>
    </w:tbl>
    <w:p>
      <w:pPr>
        <w:pStyle w:val="Normal"/>
        <w:spacing w:lineRule="auto" w:line="240" w:before="0" w:after="0"/>
        <w:rPr>
          <w:rFonts w:ascii="Times New Roman" w:hAnsi="Times New Roman" w:cs="Times New Roman"/>
          <w:bCs/>
          <w:sz w:val="24"/>
          <w:szCs w:val="28"/>
        </w:rPr>
      </w:pPr>
      <w:r>
        <w:rPr>
          <w:rFonts w:cs="Times New Roman" w:ascii="Times New Roman" w:hAnsi="Times New Roman"/>
          <w:bCs/>
          <w:sz w:val="24"/>
          <w:szCs w:val="28"/>
        </w:rPr>
        <w:t>В области теплоснабжения: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ООО «Коммунальное хозяйство» Туркменского муниципального района Ставропольского края: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Инвестиционные проекты на период реализации программы отсутствуют.</w:t>
      </w:r>
    </w:p>
    <w:p>
      <w:pPr>
        <w:pStyle w:val="Normal"/>
        <w:spacing w:lineRule="auto" w:line="240" w:before="0" w:after="0"/>
        <w:ind w:firstLine="851"/>
        <w:jc w:val="right"/>
        <w:rPr>
          <w:rFonts w:ascii="Times New Roman" w:hAnsi="Times New Roman" w:cs="Times New Roman"/>
          <w:sz w:val="24"/>
          <w:szCs w:val="28"/>
        </w:rPr>
      </w:pPr>
      <w:r>
        <w:rPr>
          <w:rFonts w:cs="Times New Roman" w:ascii="Times New Roman" w:hAnsi="Times New Roman"/>
          <w:sz w:val="24"/>
          <w:szCs w:val="28"/>
        </w:rPr>
        <w:t>Таблица 35.</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(Схема теплоснабжения)</w:t>
      </w:r>
    </w:p>
    <w:tbl>
      <w:tblPr>
        <w:tblW w:w="9746" w:type="dxa"/>
        <w:jc w:val="left"/>
        <w:tblInd w:w="149" w:type="dxa"/>
        <w:tblLayout w:type="fixed"/>
        <w:tblCellMar>
          <w:top w:w="0" w:type="dxa"/>
          <w:left w:w="5" w:type="dxa"/>
          <w:bottom w:w="0" w:type="dxa"/>
          <w:right w:w="5" w:type="dxa"/>
        </w:tblCellMar>
        <w:tblLook w:val="04a0"/>
      </w:tblPr>
      <w:tblGrid>
        <w:gridCol w:w="684"/>
        <w:gridCol w:w="4650"/>
        <w:gridCol w:w="4412"/>
      </w:tblGrid>
      <w:tr>
        <w:trPr>
          <w:trHeight w:val="245"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7" w:left="186" w:right="145"/>
              <w:rPr>
                <w:rFonts w:ascii="Times New Roman" w:hAnsi="Times New Roman" w:cs="Times New Roman"/>
                <w:spacing w:val="-4"/>
                <w:sz w:val="20"/>
                <w:szCs w:val="20"/>
              </w:rPr>
            </w:pPr>
            <w:r>
              <w:rPr>
                <w:rFonts w:cs="Times New Roman" w:ascii="Times New Roman" w:hAnsi="Times New Roman"/>
                <w:spacing w:val="-10"/>
                <w:sz w:val="20"/>
                <w:szCs w:val="20"/>
              </w:rPr>
              <w:t xml:space="preserve">№ </w:t>
            </w:r>
            <w:r>
              <w:rPr>
                <w:rFonts w:cs="Times New Roman" w:ascii="Times New Roman" w:hAnsi="Times New Roman"/>
                <w:spacing w:val="-4"/>
                <w:sz w:val="20"/>
                <w:szCs w:val="20"/>
              </w:rPr>
              <w:t>п/п</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633" w:right="1600"/>
              <w:jc w:val="center"/>
              <w:rPr>
                <w:rFonts w:ascii="Times New Roman" w:hAnsi="Times New Roman" w:cs="Times New Roman"/>
                <w:spacing w:val="-2"/>
                <w:sz w:val="20"/>
                <w:szCs w:val="20"/>
              </w:rPr>
            </w:pPr>
            <w:r>
              <w:rPr>
                <w:rFonts w:cs="Times New Roman" w:ascii="Times New Roman" w:hAnsi="Times New Roman"/>
                <w:spacing w:val="-2"/>
                <w:sz w:val="20"/>
                <w:szCs w:val="20"/>
              </w:rPr>
              <w:t>Мероприятия</w:t>
            </w:r>
          </w:p>
        </w:tc>
        <w:tc>
          <w:tcPr>
            <w:tcW w:w="44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19" w:right="587"/>
              <w:jc w:val="center"/>
              <w:rPr>
                <w:rFonts w:ascii="Times New Roman" w:hAnsi="Times New Roman" w:cs="Times New Roman"/>
                <w:sz w:val="20"/>
                <w:szCs w:val="20"/>
              </w:rPr>
            </w:pPr>
            <w:r>
              <w:rPr>
                <w:rFonts w:cs="Times New Roman" w:ascii="Times New Roman" w:hAnsi="Times New Roman"/>
                <w:sz w:val="20"/>
                <w:szCs w:val="20"/>
              </w:rPr>
              <w:t>Цели реализации мероприятия</w:t>
            </w:r>
          </w:p>
        </w:tc>
      </w:tr>
      <w:tr>
        <w:trPr>
          <w:trHeight w:val="251"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center"/>
              <w:rPr>
                <w:rFonts w:ascii="Times New Roman" w:hAnsi="Times New Roman" w:cs="Times New Roman"/>
                <w:sz w:val="20"/>
                <w:szCs w:val="20"/>
              </w:rPr>
            </w:pPr>
            <w:r>
              <w:rPr>
                <w:rFonts w:cs="Times New Roman" w:ascii="Times New Roman" w:hAnsi="Times New Roman"/>
                <w:sz w:val="20"/>
                <w:szCs w:val="20"/>
              </w:rPr>
              <w:t>1</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
              <w:jc w:val="center"/>
              <w:rPr>
                <w:rFonts w:ascii="Times New Roman" w:hAnsi="Times New Roman" w:cs="Times New Roman"/>
                <w:sz w:val="20"/>
                <w:szCs w:val="20"/>
              </w:rPr>
            </w:pPr>
            <w:r>
              <w:rPr>
                <w:rFonts w:cs="Times New Roman" w:ascii="Times New Roman" w:hAnsi="Times New Roman"/>
                <w:sz w:val="20"/>
                <w:szCs w:val="20"/>
              </w:rPr>
              <w:t>2</w:t>
            </w:r>
          </w:p>
        </w:tc>
        <w:tc>
          <w:tcPr>
            <w:tcW w:w="44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center"/>
              <w:rPr>
                <w:rFonts w:ascii="Times New Roman" w:hAnsi="Times New Roman" w:cs="Times New Roman"/>
                <w:sz w:val="20"/>
                <w:szCs w:val="20"/>
              </w:rPr>
            </w:pPr>
            <w:r>
              <w:rPr>
                <w:rFonts w:cs="Times New Roman" w:ascii="Times New Roman" w:hAnsi="Times New Roman"/>
                <w:sz w:val="20"/>
                <w:szCs w:val="20"/>
              </w:rPr>
              <w:t>3</w:t>
            </w:r>
          </w:p>
        </w:tc>
      </w:tr>
      <w:tr>
        <w:trPr>
          <w:trHeight w:val="539"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1</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Замена участка тепловых сетей протяженностью 100мвдвухтрубномисполнениивс.ЛетняяСтавк</w:t>
            </w:r>
            <w:r>
              <w:rPr>
                <w:rFonts w:cs="Times New Roman" w:ascii="Times New Roman" w:hAnsi="Times New Roman"/>
                <w:spacing w:val="-6"/>
                <w:sz w:val="20"/>
                <w:szCs w:val="20"/>
              </w:rPr>
              <w:t>а</w:t>
            </w:r>
          </w:p>
        </w:tc>
        <w:tc>
          <w:tcPr>
            <w:tcW w:w="441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2" w:left="147" w:right="110"/>
              <w:jc w:val="both"/>
              <w:rPr>
                <w:rFonts w:ascii="Times New Roman" w:hAnsi="Times New Roman" w:cs="Times New Roman"/>
                <w:spacing w:val="-4"/>
                <w:sz w:val="20"/>
                <w:szCs w:val="20"/>
              </w:rPr>
            </w:pPr>
            <w:r>
              <w:rPr>
                <w:rFonts w:cs="Times New Roman" w:ascii="Times New Roman" w:hAnsi="Times New Roman"/>
                <w:sz w:val="20"/>
                <w:szCs w:val="20"/>
              </w:rPr>
              <w:t xml:space="preserve">Для обеспечения заданного гидравлического режима, требуемой надежности теплоснабжения потребителей, снижения уровня износа объектов, повышения качества и надежности коммунальных услуг, значительное снижение тепловых потерь и как следствие уменьшение объемов потребляемого </w:t>
            </w:r>
            <w:r>
              <w:rPr>
                <w:rFonts w:cs="Times New Roman" w:ascii="Times New Roman" w:hAnsi="Times New Roman"/>
                <w:spacing w:val="-4"/>
                <w:sz w:val="20"/>
                <w:szCs w:val="20"/>
              </w:rPr>
              <w:t>газа</w:t>
            </w:r>
          </w:p>
        </w:tc>
      </w:tr>
      <w:tr>
        <w:trPr>
          <w:trHeight w:val="391"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2</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Замена участка тепловых сетей протяженностью 100мвдвухтрубномисполнениивс.ЛетняяСтав</w:t>
            </w:r>
            <w:r>
              <w:rPr>
                <w:rFonts w:cs="Times New Roman" w:ascii="Times New Roman" w:hAnsi="Times New Roman"/>
                <w:spacing w:val="-6"/>
                <w:sz w:val="20"/>
                <w:szCs w:val="20"/>
              </w:rPr>
              <w:t>ка</w:t>
            </w:r>
          </w:p>
        </w:tc>
        <w:tc>
          <w:tcPr>
            <w:tcW w:w="44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455"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3</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Pr>
                <w:rFonts w:ascii="Times New Roman" w:hAnsi="Times New Roman" w:cs="Times New Roman"/>
                <w:sz w:val="20"/>
                <w:szCs w:val="20"/>
              </w:rPr>
            </w:pPr>
            <w:r>
              <w:rPr>
                <w:rFonts w:cs="Times New Roman" w:ascii="Times New Roman" w:hAnsi="Times New Roman"/>
                <w:sz w:val="20"/>
                <w:szCs w:val="20"/>
              </w:rPr>
              <w:t>Замена участка тепловых сетей протяженностью</w:t>
            </w:r>
          </w:p>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100мвдвухтрубномисполнениивс.ЛетняяСтав</w:t>
            </w:r>
            <w:r>
              <w:rPr>
                <w:rFonts w:cs="Times New Roman" w:ascii="Times New Roman" w:hAnsi="Times New Roman"/>
                <w:spacing w:val="-6"/>
                <w:sz w:val="20"/>
                <w:szCs w:val="20"/>
              </w:rPr>
              <w:t>ка</w:t>
            </w:r>
          </w:p>
        </w:tc>
        <w:tc>
          <w:tcPr>
            <w:tcW w:w="44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378"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4</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Замена участка тепловых сетей протяженностью 100мвдвухтрубномисполнениивс.ЛетняяСтав</w:t>
            </w:r>
            <w:r>
              <w:rPr>
                <w:rFonts w:cs="Times New Roman" w:ascii="Times New Roman" w:hAnsi="Times New Roman"/>
                <w:spacing w:val="-6"/>
                <w:sz w:val="20"/>
                <w:szCs w:val="20"/>
              </w:rPr>
              <w:t>ка</w:t>
            </w:r>
          </w:p>
        </w:tc>
        <w:tc>
          <w:tcPr>
            <w:tcW w:w="44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455"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5</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Замена участка тепловых сетей протяженностью 100мвдвухтрубномисполнениивс.ЛетняяСтав</w:t>
            </w:r>
            <w:r>
              <w:rPr>
                <w:rFonts w:cs="Times New Roman" w:ascii="Times New Roman" w:hAnsi="Times New Roman"/>
                <w:spacing w:val="-6"/>
                <w:sz w:val="20"/>
                <w:szCs w:val="20"/>
              </w:rPr>
              <w:t>ка</w:t>
            </w:r>
          </w:p>
        </w:tc>
        <w:tc>
          <w:tcPr>
            <w:tcW w:w="44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r>
        <w:trPr>
          <w:trHeight w:val="519"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52"/>
              <w:jc w:val="right"/>
              <w:rPr>
                <w:rFonts w:ascii="Times New Roman" w:hAnsi="Times New Roman" w:cs="Times New Roman"/>
                <w:sz w:val="20"/>
                <w:szCs w:val="20"/>
              </w:rPr>
            </w:pPr>
            <w:r>
              <w:rPr>
                <w:rFonts w:cs="Times New Roman" w:ascii="Times New Roman" w:hAnsi="Times New Roman"/>
                <w:sz w:val="20"/>
                <w:szCs w:val="20"/>
              </w:rPr>
              <w:t>6</w:t>
            </w:r>
          </w:p>
        </w:tc>
        <w:tc>
          <w:tcPr>
            <w:tcW w:w="4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0" w:right="79"/>
              <w:rPr>
                <w:rFonts w:ascii="Times New Roman" w:hAnsi="Times New Roman" w:cs="Times New Roman"/>
                <w:spacing w:val="-6"/>
                <w:sz w:val="20"/>
                <w:szCs w:val="20"/>
              </w:rPr>
            </w:pPr>
            <w:r>
              <w:rPr>
                <w:rFonts w:cs="Times New Roman" w:ascii="Times New Roman" w:hAnsi="Times New Roman"/>
                <w:sz w:val="20"/>
                <w:szCs w:val="20"/>
              </w:rPr>
              <w:t>Замена участка тепловых сетей протяженностью 100мвдвухтрубномисполнениивс.ЛетняяСтав</w:t>
            </w:r>
            <w:r>
              <w:rPr>
                <w:rFonts w:cs="Times New Roman" w:ascii="Times New Roman" w:hAnsi="Times New Roman"/>
                <w:spacing w:val="-6"/>
                <w:sz w:val="20"/>
                <w:szCs w:val="20"/>
              </w:rPr>
              <w:t>ка</w:t>
            </w:r>
          </w:p>
        </w:tc>
        <w:tc>
          <w:tcPr>
            <w:tcW w:w="44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sz w:val="20"/>
                <w:szCs w:val="20"/>
              </w:rPr>
            </w:pPr>
            <w:r>
              <w:rPr>
                <w:sz w:val="20"/>
                <w:szCs w:val="20"/>
              </w:rPr>
            </w:r>
          </w:p>
        </w:tc>
      </w:tr>
    </w:tbl>
    <w:p>
      <w:pPr>
        <w:pStyle w:val="Normal"/>
        <w:spacing w:lineRule="auto" w:line="240" w:before="0" w:after="0"/>
        <w:ind w:firstLine="567" w:right="-284"/>
        <w:jc w:val="both"/>
        <w:rPr>
          <w:rFonts w:ascii="Times New Roman" w:hAnsi="Times New Roman" w:cs="Times New Roman"/>
          <w:bCs/>
          <w:sz w:val="24"/>
          <w:szCs w:val="24"/>
          <w:u w:val="single"/>
        </w:rPr>
      </w:pPr>
      <w:r>
        <w:rPr>
          <w:rFonts w:cs="Times New Roman" w:ascii="Times New Roman" w:hAnsi="Times New Roman"/>
          <w:bCs/>
          <w:sz w:val="24"/>
          <w:szCs w:val="24"/>
        </w:rPr>
        <w:t>В области электроснабжения:</w:t>
      </w:r>
    </w:p>
    <w:p>
      <w:pPr>
        <w:pStyle w:val="Normal"/>
        <w:spacing w:lineRule="auto" w:line="276" w:before="0" w:after="0"/>
        <w:ind w:firstLine="567" w:right="-284"/>
        <w:jc w:val="both"/>
        <w:rPr>
          <w:sz w:val="24"/>
          <w:szCs w:val="24"/>
        </w:rPr>
      </w:pPr>
      <w:r>
        <w:rPr>
          <w:rFonts w:cs="Times New Roman" w:ascii="Times New Roman" w:hAnsi="Times New Roman"/>
          <w:sz w:val="24"/>
          <w:szCs w:val="24"/>
        </w:rPr>
        <w:t>- реконструкция ВЛ-10 кВ Ф-774 от ПС Кучерла Туркменского муниципального округа (с установкой доп. ТП-10/0,4 кВ, реконструкцией ВЛ-0,4 кВ для разгрузки ТП-10/774);</w:t>
      </w:r>
    </w:p>
    <w:p>
      <w:pPr>
        <w:pStyle w:val="Normal"/>
        <w:spacing w:lineRule="auto" w:line="276" w:before="0" w:after="0"/>
        <w:ind w:firstLine="567" w:right="-284"/>
        <w:jc w:val="both"/>
        <w:rPr>
          <w:sz w:val="24"/>
          <w:szCs w:val="24"/>
        </w:rPr>
      </w:pPr>
      <w:r>
        <w:rPr>
          <w:rFonts w:cs="Times New Roman" w:ascii="Times New Roman" w:hAnsi="Times New Roman"/>
          <w:sz w:val="24"/>
          <w:szCs w:val="24"/>
        </w:rPr>
        <w:t>- реконструкция ВЛ-0,4 кВ Ф-2, Ф-3 от КТП-1/722 в с. Камбулат Туркменского муниципального округа;</w:t>
      </w:r>
    </w:p>
    <w:p>
      <w:pPr>
        <w:pStyle w:val="Normal"/>
        <w:spacing w:lineRule="auto" w:line="276" w:before="0" w:after="0"/>
        <w:ind w:firstLine="567" w:right="-284"/>
        <w:jc w:val="both"/>
        <w:rPr>
          <w:sz w:val="24"/>
          <w:szCs w:val="24"/>
        </w:rPr>
      </w:pPr>
      <w:r>
        <w:rPr>
          <w:rFonts w:cs="Times New Roman" w:ascii="Times New Roman" w:hAnsi="Times New Roman"/>
          <w:sz w:val="24"/>
          <w:szCs w:val="24"/>
        </w:rPr>
        <w:t>- реконструкция ВЛ-10 кВ Ф-722 от ПС "Камбулат" Туркменского муниципального округа.</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В области газоснабжения:</w:t>
      </w:r>
    </w:p>
    <w:p>
      <w:pPr>
        <w:pStyle w:val="ListParagraph"/>
        <w:spacing w:lineRule="auto" w:line="240" w:before="0" w:after="0"/>
        <w:ind w:firstLine="567" w:left="0" w:right="-284"/>
        <w:contextualSpacing/>
        <w:jc w:val="both"/>
        <w:rPr>
          <w:rFonts w:ascii="Times New Roman" w:hAnsi="Times New Roman" w:cs="Times New Roman"/>
          <w:sz w:val="24"/>
          <w:szCs w:val="24"/>
        </w:rPr>
      </w:pPr>
      <w:r>
        <w:rPr>
          <w:rFonts w:cs="Times New Roman" w:ascii="Times New Roman" w:hAnsi="Times New Roman"/>
          <w:sz w:val="24"/>
          <w:szCs w:val="24"/>
        </w:rPr>
        <w:t>- догазификация домовладений;</w:t>
      </w:r>
    </w:p>
    <w:p>
      <w:pPr>
        <w:pStyle w:val="ListParagraph"/>
        <w:spacing w:lineRule="auto" w:line="240" w:before="0" w:after="0"/>
        <w:ind w:left="567" w:right="-284"/>
        <w:contextualSpacing/>
        <w:jc w:val="both"/>
        <w:rPr>
          <w:rFonts w:ascii="Times New Roman" w:hAnsi="Times New Roman" w:cs="Times New Roman"/>
          <w:sz w:val="24"/>
          <w:szCs w:val="24"/>
        </w:rPr>
      </w:pPr>
      <w:r>
        <w:rPr>
          <w:rFonts w:cs="Times New Roman" w:ascii="Times New Roman" w:hAnsi="Times New Roman"/>
          <w:sz w:val="24"/>
          <w:szCs w:val="24"/>
        </w:rPr>
        <w:t>- техническое обслуживание и ремонт газораспределительных сетей;</w:t>
      </w:r>
    </w:p>
    <w:p>
      <w:pPr>
        <w:pStyle w:val="ListParagraph"/>
        <w:spacing w:lineRule="auto" w:line="240" w:before="0" w:after="0"/>
        <w:ind w:left="567" w:right="-284"/>
        <w:contextualSpacing/>
        <w:jc w:val="both"/>
        <w:rPr>
          <w:rFonts w:ascii="Times New Roman" w:hAnsi="Times New Roman" w:cs="Times New Roman"/>
          <w:sz w:val="24"/>
          <w:szCs w:val="24"/>
        </w:rPr>
      </w:pPr>
      <w:r>
        <w:rPr>
          <w:rFonts w:cs="Times New Roman" w:ascii="Times New Roman" w:hAnsi="Times New Roman"/>
          <w:sz w:val="24"/>
          <w:szCs w:val="24"/>
        </w:rPr>
        <w:t>- строительство инженерных коммуникаций.</w:t>
      </w:r>
    </w:p>
    <w:p>
      <w:pPr>
        <w:pStyle w:val="Normal"/>
        <w:spacing w:lineRule="auto" w:line="240" w:before="0" w:after="0"/>
        <w:ind w:firstLine="567" w:left="39" w:right="-284"/>
        <w:jc w:val="both"/>
        <w:rPr>
          <w:rFonts w:ascii="Times New Roman" w:hAnsi="Times New Roman" w:cs="Times New Roman"/>
          <w:bCs/>
          <w:sz w:val="24"/>
          <w:szCs w:val="24"/>
          <w:u w:val="single"/>
        </w:rPr>
      </w:pPr>
      <w:r>
        <w:rPr>
          <w:rFonts w:cs="Times New Roman" w:ascii="Times New Roman" w:hAnsi="Times New Roman"/>
          <w:bCs/>
          <w:sz w:val="24"/>
          <w:szCs w:val="24"/>
        </w:rPr>
        <w:t>В области сбора и вывоза ТКО</w:t>
      </w:r>
      <w:r>
        <w:rPr>
          <w:rFonts w:cs="Times New Roman" w:ascii="Times New Roman" w:hAnsi="Times New Roman"/>
          <w:bCs/>
          <w:sz w:val="24"/>
          <w:szCs w:val="24"/>
          <w:u w:val="single"/>
        </w:rPr>
        <w:t>:</w:t>
      </w:r>
    </w:p>
    <w:p>
      <w:pPr>
        <w:pStyle w:val="Normal"/>
        <w:spacing w:lineRule="auto" w:line="240" w:before="0" w:after="0"/>
        <w:ind w:firstLine="567" w:right="-284"/>
        <w:jc w:val="both"/>
        <w:rPr>
          <w:rFonts w:ascii="Times New Roman" w:hAnsi="Times New Roman" w:cs="Times New Roman"/>
          <w:sz w:val="24"/>
          <w:szCs w:val="24"/>
        </w:rPr>
      </w:pPr>
      <w:bookmarkStart w:id="61" w:name="_Hlk224565718"/>
      <w:r>
        <w:rPr>
          <w:rFonts w:cs="Times New Roman" w:ascii="Times New Roman" w:hAnsi="Times New Roman"/>
          <w:sz w:val="24"/>
          <w:szCs w:val="24"/>
        </w:rPr>
        <w:t>Обустройство мест сбора ТКО (контейнерные - площадки).</w:t>
      </w:r>
      <w:bookmarkEnd w:id="61"/>
    </w:p>
    <w:p>
      <w:pPr>
        <w:pStyle w:val="Normal"/>
        <w:spacing w:lineRule="auto" w:line="240" w:before="0" w:after="0"/>
        <w:ind w:firstLine="567" w:right="-284"/>
        <w:rPr>
          <w:rFonts w:ascii="Times New Roman" w:hAnsi="Times New Roman" w:cs="Times New Roman"/>
          <w:sz w:val="24"/>
          <w:szCs w:val="24"/>
        </w:rPr>
      </w:pPr>
      <w:r>
        <w:rPr>
          <w:rFonts w:cs="Times New Roman" w:ascii="Times New Roman" w:hAnsi="Times New Roman"/>
          <w:sz w:val="24"/>
          <w:szCs w:val="24"/>
        </w:rPr>
        <w:t>7. Предложения по организации реализации инвестиционных проектов.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В настоящее время в программах Туркменского муниципального округа отсутствуют детально проработанные инвестиционные проекты по развитию систем коммунальной инфраструктуры. Вместо них запланированы лишь мероприятия в рамках текущих задач развития инженерной инфраструктуры. Это ограничивает возможности масштабной модернизации и не позволяет в полной мере учитывать перспективные потребности округа.</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Для устранения данного пробела предлагается комплекс мер по организации разработки и реализации инвестиционных проектов.</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Этапы реализации.</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1. Подготовительный этап:</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инвентаризация существующего состояния коммунальной инфраструктуры с оценкой степени износа сетей и оборудования;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анализ перспективных потребностей округа на основе генерального плана развития и прогноза демографического роста;</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формирование перечня приоритетных инвестиционных проектов с предварительной оценкой стоимости и сроков реализации;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разработка технико</w:t>
        <w:noBreakHyphen/>
        <w:t>экономических обоснований (ТЭО) для каждого проекта.</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2. Разработка проектно - сметной документации: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проведение инженерных изысканий на участках планируемого строительства/реконструкции;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подготовка проектной документации в соответствии с требованиями Градостроительного кодекса РФ и других нормативных актов;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государственная экспертиза проектов (при необходимости);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уточнение сметной стоимости с учётом актуальных цен на материалы и оборудование.</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Организация конкурсных процедур (на протяжении всего срока программы):</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подготовка конкурсной документации для выбора подрядчиков на проектирование, строительство и поставку оборудования;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проведение открытых конкурсов и аукционов в соответствии с 44</w:t>
        <w:noBreakHyphen/>
        <w:t>ФЗ и 223</w:t>
        <w:noBreakHyphen/>
        <w:t>ФЗ;</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заключение контрактов с победителями конкурсов, включая установление чётких сроков исполнения и штрафных санкций за их нарушение.</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3. Реализация проектов: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поэтапное строительство и реконструкция объектов коммунальной инфраструктуры согласно утверждённым графикам;</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регулярный мониторинг хода работ с привлечением независимых технических консультантов;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контроль качества применяемых материалов и технологий.</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4. Ввод в эксплуатацию и мониторинг (2030–2041 гг.):</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пусконаладочные работы и испытания объектов;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оформление разрешительной документации для ввода в эксплуатацию;</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организация долгосрочного мониторинга эффективности реализованных проектов.</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Источники финансирования.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Финансирование программы осуществляется за счёт бюджетов различного уровня: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федеральный бюджет — через участие в национальных проектах и федеральных программах (например, «Жильё и городская среда», «Экология»);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краевой бюджет — в рамках региональных программ развития коммунальной инфраструктуры и газификации;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местный бюджет — выделение средств из муниципальной казны на софинансирование приоритетных проектов;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внебюджетные источники — привлечение инвестиций через концессионные соглашения, энергосервисные контракты и механизмы государственно</w:t>
        <w:noBreakHyphen/>
        <w:t>частного партнёрства (ГЧП).</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Дополнительно могут быть использованы:</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инвестиционные надбавки к тарифам на коммунальные услуги;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плата за технологическое присоединение новых объектов к сетям;</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средства экологических платежей и штрафов, направляемые на модернизацию очистных сооружений.</w:t>
      </w:r>
    </w:p>
    <w:p>
      <w:pPr>
        <w:pStyle w:val="Normal"/>
        <w:spacing w:lineRule="auto" w:line="240" w:before="0" w:after="0"/>
        <w:ind w:firstLine="567" w:right="-284"/>
        <w:jc w:val="both"/>
        <w:rPr>
          <w:rFonts w:ascii="Times New Roman" w:hAnsi="Times New Roman" w:cs="Times New Roman"/>
          <w:bCs/>
          <w:sz w:val="24"/>
          <w:szCs w:val="24"/>
        </w:rPr>
      </w:pPr>
      <w:r>
        <w:rPr>
          <w:rFonts w:cs="Times New Roman" w:ascii="Times New Roman" w:hAnsi="Times New Roman"/>
          <w:bCs/>
          <w:sz w:val="24"/>
          <w:szCs w:val="24"/>
        </w:rPr>
        <w:t>Организационные механизмы.</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Для эффективной реализации программы предлагается создать координационный совет при администрации округа, включающий:</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представителей органов местного самоуправления;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специалистов профильных предприятий ЖКХ;</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экспертов в области проектирования и строительства;</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представителей общественности.</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Разработать детальный план - график реализации каждого инвестиционного проекта с указанием:</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этапов и сроков выполнения работ;</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объёмов и источников финансирования;</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ответственных исполнителей.</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Внедрить систему мониторинга и отчётности, включающую:</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ежеквартальные отчёты о ходе реализации проектов;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публичную отчётность на официальном сайте округа;</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ежегодный аудит эффективности использования бюджетных средств</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Обеспечить информационную открытость:</w:t>
      </w:r>
    </w:p>
    <w:p>
      <w:pPr>
        <w:pStyle w:val="Normal"/>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проводить публичные слушания по ключевым проектам;</w:t>
      </w:r>
    </w:p>
    <w:p>
      <w:pPr>
        <w:pStyle w:val="Normal"/>
        <w:tabs>
          <w:tab w:val="clear" w:pos="708"/>
          <w:tab w:val="left" w:pos="709" w:leader="none"/>
        </w:tabs>
        <w:spacing w:lineRule="auto" w:line="240" w:before="0" w:after="0"/>
        <w:ind w:firstLine="567" w:right="-284"/>
        <w:jc w:val="both"/>
        <w:rPr>
          <w:rFonts w:ascii="Times New Roman" w:hAnsi="Times New Roman" w:cs="Times New Roman"/>
          <w:sz w:val="24"/>
          <w:szCs w:val="24"/>
        </w:rPr>
      </w:pPr>
      <w:r>
        <w:rPr>
          <w:rFonts w:cs="Times New Roman" w:ascii="Times New Roman" w:hAnsi="Times New Roman"/>
          <w:sz w:val="24"/>
          <w:szCs w:val="24"/>
        </w:rPr>
        <w:t>- размещать актуальную информацию о конкурсах и контрактах в единой информационной системе (ЕИС);</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 организовывать встречи с населением для разъяснения целей и задач программы.</w:t>
      </w:r>
    </w:p>
    <w:p>
      <w:pPr>
        <w:pStyle w:val="Normal"/>
        <w:spacing w:lineRule="auto" w:line="240" w:before="0" w:after="0"/>
        <w:ind w:firstLine="567" w:right="-284"/>
        <w:jc w:val="both"/>
        <w:rPr>
          <w:rFonts w:ascii="Times New Roman" w:hAnsi="Times New Roman" w:cs="Times New Roman"/>
          <w:bCs/>
          <w:sz w:val="24"/>
          <w:szCs w:val="28"/>
        </w:rPr>
      </w:pPr>
      <w:r>
        <w:rPr>
          <w:rFonts w:cs="Times New Roman" w:ascii="Times New Roman" w:hAnsi="Times New Roman"/>
          <w:bCs/>
          <w:sz w:val="24"/>
          <w:szCs w:val="28"/>
        </w:rPr>
        <w:t>Ожидаемые результаты.</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Реализация предложенного подхода позволит:</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 сформировать портфель инвестиционных проектов, соответствующих стратегическим задачам развития округа;</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 обеспечить прозрачность и конкуренцию при выборе подрядчиков;</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 оптимизировать использование бюджетных средств за счёт чёткого планирования и контроля;</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 повысить надёжность и качество коммунальных услуг для населения.</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t>Сроки реализации программы - 2026–2041 годы - дают достаточный временной горизонт для поэтапной модернизации инфраструктуры с учётом меняющихся потребностей округа.</w:t>
      </w:r>
    </w:p>
    <w:p>
      <w:pPr>
        <w:pStyle w:val="Normal"/>
        <w:spacing w:lineRule="auto" w:line="240" w:before="0" w:after="0"/>
        <w:ind w:firstLine="567" w:right="-284"/>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firstLine="567"/>
        <w:jc w:val="center"/>
        <w:rPr>
          <w:rFonts w:ascii="Times New Roman" w:hAnsi="Times New Roman" w:cs="Times New Roman"/>
          <w:sz w:val="24"/>
          <w:szCs w:val="28"/>
        </w:rPr>
      </w:pPr>
      <w:r>
        <w:rPr>
          <w:rFonts w:cs="Times New Roman" w:ascii="Times New Roman" w:hAnsi="Times New Roman"/>
          <w:sz w:val="24"/>
          <w:szCs w:val="28"/>
        </w:rPr>
        <w:t>8. ОБОСНОВАНИЕ ИСПОЛЬЗОВАНИЯ В КАЧЕСТВЕ ИСТОЧНИКОВ ФИНАНСИРОВАНИЯ ИНВЕСТИЦИОННЫХ ПРОЕКТОВ ТАРИФОВ, ПЛАТЫ ЗА ПОДКЛЮЧЕНИЕ (ТЕХНОЛОГИЧЕСКОЕ ПРИСОЕДИНЕНИЕ) ОБЪЕКТОВ КАПИТАЛЬНОГО СТРОИТЕЛЬСТВА К СИСТЕМАМ КОММУНАЛЬНОЙ ИНФРАСТРУКТУРЫ</w:t>
      </w:r>
    </w:p>
    <w:p>
      <w:pPr>
        <w:pStyle w:val="Normal"/>
        <w:spacing w:lineRule="auto" w:line="240" w:before="0" w:after="0"/>
        <w:ind w:firstLine="567"/>
        <w:jc w:val="center"/>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firstLine="567" w:right="121"/>
        <w:jc w:val="both"/>
        <w:rPr>
          <w:rFonts w:ascii="Times New Roman" w:hAnsi="Times New Roman" w:cs="Times New Roman"/>
          <w:sz w:val="24"/>
          <w:szCs w:val="28"/>
        </w:rPr>
      </w:pPr>
      <w:r>
        <w:rPr>
          <w:rFonts w:cs="Times New Roman" w:ascii="Times New Roman" w:hAnsi="Times New Roman"/>
          <w:sz w:val="24"/>
          <w:szCs w:val="28"/>
        </w:rPr>
        <w:t>Строительство и реконструкция объектов инфраструктуры осуществляются организациями коммунального комплекса. Окупаемость затрат на строительство и реконструкцию достигается путем формирования и защиты инвестиционных программ развития сетей (за счет инвестиционной надбавки в тарифе). Инвестиционные программы  будут корректироваться в соответствии с программами комплексного развития систем коммунальной инфраструктуры Туркменского муниципального округа. Основным требованием при организациях коммунального комплекса будет являться использование в мероприятиях инновационной продукции, обеспечивающей энергосбережение и повышение энергетической эффективности. Включение инвестиционной надбавки в тарифы для реализации проектов инвестиционных программ возможно при условии соответствия тарифов доступному уровню.</w:t>
      </w:r>
    </w:p>
    <w:p>
      <w:pPr>
        <w:pStyle w:val="Normal"/>
        <w:spacing w:lineRule="auto" w:line="240" w:before="0" w:after="0"/>
        <w:ind w:firstLine="567" w:right="122"/>
        <w:jc w:val="both"/>
        <w:rPr>
          <w:rFonts w:ascii="Times New Roman" w:hAnsi="Times New Roman" w:cs="Times New Roman"/>
          <w:i/>
          <w:i/>
          <w:iCs/>
          <w:sz w:val="24"/>
          <w:szCs w:val="28"/>
        </w:rPr>
      </w:pPr>
      <w:r>
        <w:rPr>
          <w:rFonts w:cs="Times New Roman" w:ascii="Times New Roman" w:hAnsi="Times New Roman"/>
          <w:sz w:val="24"/>
          <w:szCs w:val="28"/>
        </w:rPr>
        <w:t>Источниками инвестиций должны являться собственные средства предприятий (прибыль, амортизационные отчисления, снижение затрат за счет реализации проектов), плата за подключение (присоединение), бюджетные средства (местного, регионального, федерального бюджетов), кредиты, средства частных инвесторов</w:t>
      </w:r>
      <w:r>
        <w:rPr>
          <w:rFonts w:cs="Times New Roman" w:ascii="Times New Roman" w:hAnsi="Times New Roman"/>
          <w:i/>
          <w:iCs/>
          <w:sz w:val="24"/>
          <w:szCs w:val="28"/>
        </w:rPr>
        <w:t>.</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Основные статьи затрат при утверждении тарифов:</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сырье, основные материалы;</w:t>
      </w:r>
    </w:p>
    <w:p>
      <w:pPr>
        <w:pStyle w:val="Normal"/>
        <w:spacing w:lineRule="auto" w:line="240" w:before="50" w:after="0"/>
        <w:ind w:firstLine="567"/>
        <w:jc w:val="both"/>
        <w:rPr>
          <w:rFonts w:ascii="Times New Roman" w:hAnsi="Times New Roman" w:cs="Times New Roman"/>
          <w:sz w:val="24"/>
          <w:szCs w:val="28"/>
        </w:rPr>
      </w:pPr>
      <w:r>
        <w:rPr>
          <w:rFonts w:cs="Times New Roman" w:ascii="Times New Roman" w:hAnsi="Times New Roman"/>
          <w:sz w:val="24"/>
          <w:szCs w:val="28"/>
        </w:rPr>
        <w:t>- вспомогательные материалы;</w:t>
      </w:r>
    </w:p>
    <w:p>
      <w:pPr>
        <w:pStyle w:val="Normal"/>
        <w:spacing w:lineRule="auto" w:line="240" w:before="47" w:after="0"/>
        <w:ind w:firstLine="567"/>
        <w:jc w:val="both"/>
        <w:rPr>
          <w:rFonts w:ascii="Times New Roman" w:hAnsi="Times New Roman" w:cs="Times New Roman"/>
          <w:sz w:val="24"/>
          <w:szCs w:val="28"/>
        </w:rPr>
      </w:pPr>
      <w:r>
        <w:rPr>
          <w:rFonts w:cs="Times New Roman" w:ascii="Times New Roman" w:hAnsi="Times New Roman"/>
          <w:sz w:val="24"/>
          <w:szCs w:val="28"/>
        </w:rPr>
        <w:t>- затраты на оплату труда;</w:t>
      </w:r>
    </w:p>
    <w:p>
      <w:pPr>
        <w:pStyle w:val="Normal"/>
        <w:spacing w:lineRule="auto" w:line="240" w:before="48" w:after="0"/>
        <w:ind w:firstLine="567"/>
        <w:jc w:val="both"/>
        <w:rPr>
          <w:rFonts w:ascii="Times New Roman" w:hAnsi="Times New Roman" w:cs="Times New Roman"/>
          <w:sz w:val="24"/>
          <w:szCs w:val="28"/>
        </w:rPr>
      </w:pPr>
      <w:r>
        <w:rPr>
          <w:rFonts w:cs="Times New Roman" w:ascii="Times New Roman" w:hAnsi="Times New Roman"/>
          <w:sz w:val="24"/>
          <w:szCs w:val="28"/>
        </w:rPr>
        <w:t>- страховые взносы;</w:t>
      </w:r>
    </w:p>
    <w:p>
      <w:pPr>
        <w:pStyle w:val="Normal"/>
        <w:spacing w:lineRule="auto" w:line="240" w:before="50" w:after="0"/>
        <w:ind w:firstLine="567"/>
        <w:jc w:val="both"/>
        <w:rPr>
          <w:rFonts w:ascii="Times New Roman" w:hAnsi="Times New Roman" w:cs="Times New Roman"/>
          <w:spacing w:val="-2"/>
          <w:sz w:val="24"/>
          <w:szCs w:val="28"/>
        </w:rPr>
      </w:pPr>
      <w:r>
        <w:rPr>
          <w:rFonts w:cs="Times New Roman" w:ascii="Times New Roman" w:hAnsi="Times New Roman"/>
          <w:spacing w:val="-2"/>
          <w:sz w:val="24"/>
          <w:szCs w:val="28"/>
        </w:rPr>
        <w:t>- амортизация;</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 прочие расходы, в том числе общехозяйственные расходы.</w:t>
      </w:r>
    </w:p>
    <w:p>
      <w:pPr>
        <w:pStyle w:val="Normal"/>
        <w:spacing w:lineRule="auto" w:line="240" w:before="0" w:after="0"/>
        <w:ind w:firstLine="567"/>
        <w:jc w:val="both"/>
        <w:rPr>
          <w:rFonts w:ascii="Times New Roman" w:hAnsi="Times New Roman" w:cs="Times New Roman"/>
          <w:sz w:val="24"/>
          <w:szCs w:val="28"/>
        </w:rPr>
      </w:pPr>
      <w:r>
        <w:rPr>
          <w:rFonts w:cs="Times New Roman" w:ascii="Times New Roman" w:hAnsi="Times New Roman"/>
          <w:sz w:val="24"/>
          <w:szCs w:val="28"/>
        </w:rPr>
        <w:t>Итого затраты:</w:t>
      </w:r>
    </w:p>
    <w:p>
      <w:pPr>
        <w:pStyle w:val="Normal"/>
        <w:spacing w:lineRule="auto" w:line="240" w:before="47" w:after="0"/>
        <w:ind w:firstLine="567" w:right="-1"/>
        <w:jc w:val="both"/>
        <w:rPr>
          <w:rFonts w:ascii="Times New Roman" w:hAnsi="Times New Roman" w:cs="Times New Roman"/>
          <w:sz w:val="24"/>
          <w:szCs w:val="28"/>
        </w:rPr>
      </w:pPr>
      <w:r>
        <w:rPr>
          <w:rFonts w:cs="Times New Roman" w:ascii="Times New Roman" w:hAnsi="Times New Roman"/>
          <w:sz w:val="24"/>
          <w:szCs w:val="28"/>
        </w:rPr>
        <w:t>- недополученный по независящим причинам доход.</w:t>
      </w:r>
    </w:p>
    <w:p>
      <w:pPr>
        <w:pStyle w:val="Normal"/>
        <w:spacing w:lineRule="auto" w:line="240" w:before="47" w:after="0"/>
        <w:ind w:firstLine="567" w:right="-1"/>
        <w:jc w:val="both"/>
        <w:rPr>
          <w:rFonts w:ascii="Times New Roman" w:hAnsi="Times New Roman" w:cs="Times New Roman"/>
          <w:sz w:val="24"/>
          <w:szCs w:val="28"/>
        </w:rPr>
      </w:pPr>
      <w:r>
        <w:rPr>
          <w:rFonts w:cs="Times New Roman" w:ascii="Times New Roman" w:hAnsi="Times New Roman"/>
          <w:sz w:val="24"/>
          <w:szCs w:val="28"/>
        </w:rPr>
        <w:t>- расчетные расходы по производству продукции (услуг).</w:t>
      </w:r>
    </w:p>
    <w:p>
      <w:pPr>
        <w:pStyle w:val="Normal"/>
        <w:spacing w:lineRule="auto" w:line="240" w:before="0" w:after="0"/>
        <w:ind w:firstLine="567" w:right="117"/>
        <w:jc w:val="both"/>
        <w:rPr>
          <w:rFonts w:ascii="Times New Roman" w:hAnsi="Times New Roman" w:cs="Times New Roman"/>
          <w:b/>
          <w:bCs/>
          <w:spacing w:val="-2"/>
          <w:sz w:val="24"/>
          <w:szCs w:val="28"/>
        </w:rPr>
      </w:pPr>
      <w:r>
        <w:rPr>
          <w:rFonts w:cs="Times New Roman" w:ascii="Times New Roman" w:hAnsi="Times New Roman"/>
          <w:sz w:val="24"/>
          <w:szCs w:val="28"/>
        </w:rPr>
        <w:t xml:space="preserve">Технические условия подключения (технологического присоединения) объекта к сетям инженерно – технического обеспечения и информация оплате за </w:t>
      </w:r>
      <w:r>
        <w:rPr>
          <w:rFonts w:cs="Times New Roman" w:ascii="Times New Roman" w:hAnsi="Times New Roman"/>
          <w:spacing w:val="-2"/>
          <w:sz w:val="24"/>
          <w:szCs w:val="28"/>
        </w:rPr>
        <w:t>подключение</w:t>
      </w:r>
      <w:r>
        <w:rPr>
          <w:rFonts w:cs="Times New Roman" w:ascii="Times New Roman" w:hAnsi="Times New Roman"/>
          <w:b/>
          <w:bCs/>
          <w:spacing w:val="-2"/>
          <w:sz w:val="24"/>
          <w:szCs w:val="28"/>
        </w:rPr>
        <w:t>:</w:t>
      </w:r>
    </w:p>
    <w:p>
      <w:pPr>
        <w:pStyle w:val="Normal"/>
        <w:tabs>
          <w:tab w:val="clear" w:pos="708"/>
          <w:tab w:val="left" w:pos="1168" w:leader="none"/>
        </w:tabs>
        <w:spacing w:lineRule="auto" w:line="240" w:before="1" w:after="0"/>
        <w:ind w:firstLine="567" w:right="-1"/>
        <w:jc w:val="both"/>
        <w:rPr>
          <w:rFonts w:ascii="Times New Roman" w:hAnsi="Times New Roman" w:cs="Times New Roman"/>
          <w:sz w:val="24"/>
          <w:szCs w:val="28"/>
        </w:rPr>
      </w:pPr>
      <w:r>
        <w:rPr>
          <w:rFonts w:cs="Times New Roman" w:ascii="Times New Roman" w:hAnsi="Times New Roman"/>
          <w:bCs/>
          <w:sz w:val="24"/>
          <w:szCs w:val="28"/>
        </w:rPr>
        <w:t>- Электроснабжение</w:t>
      </w:r>
      <w:r>
        <w:rPr>
          <w:rFonts w:cs="Times New Roman" w:ascii="Times New Roman" w:hAnsi="Times New Roman"/>
          <w:sz w:val="24"/>
          <w:szCs w:val="28"/>
        </w:rPr>
        <w:t>– возможность технологического присоединения имеется. Выдача конкретных технических условий возможна после направления собственником земельного участка заявки на технологическое присоединение в соответствии с требованиями Постановления Правительства РФ от 27.12.2004г. № 861 в действующей редакции. Размер платы за технологическое присоединение устанавливается в соответствии с приказом Министерства энергетики и жилищно-коммунального хозяйства Ставропольского края.</w:t>
      </w:r>
    </w:p>
    <w:p>
      <w:pPr>
        <w:pStyle w:val="Normal"/>
        <w:tabs>
          <w:tab w:val="clear" w:pos="708"/>
          <w:tab w:val="left" w:pos="1048" w:leader="none"/>
        </w:tabs>
        <w:spacing w:lineRule="auto" w:line="240" w:before="0" w:after="0"/>
        <w:ind w:firstLine="567" w:right="124"/>
        <w:jc w:val="both"/>
        <w:rPr>
          <w:rFonts w:ascii="Times New Roman" w:hAnsi="Times New Roman" w:cs="Times New Roman"/>
          <w:sz w:val="24"/>
          <w:szCs w:val="28"/>
        </w:rPr>
      </w:pPr>
      <w:r>
        <w:rPr>
          <w:rFonts w:cs="Times New Roman" w:ascii="Times New Roman" w:hAnsi="Times New Roman"/>
          <w:bCs/>
          <w:sz w:val="24"/>
          <w:szCs w:val="28"/>
        </w:rPr>
        <w:t>-Водоснабжение</w:t>
      </w:r>
      <w:r>
        <w:rPr>
          <w:rFonts w:cs="Times New Roman" w:ascii="Times New Roman" w:hAnsi="Times New Roman"/>
          <w:sz w:val="24"/>
          <w:szCs w:val="28"/>
        </w:rPr>
        <w:t>–обеспечение водой осуществляется от индивидуальной скважины. Отвод стоков от объекта предусмотреть в индивидуальный выгреб.</w:t>
      </w:r>
    </w:p>
    <w:p>
      <w:pPr>
        <w:pStyle w:val="Normal"/>
        <w:tabs>
          <w:tab w:val="clear" w:pos="708"/>
          <w:tab w:val="left" w:pos="605" w:leader="none"/>
        </w:tabs>
        <w:spacing w:lineRule="auto" w:line="240" w:before="0" w:after="0"/>
        <w:ind w:firstLine="567"/>
        <w:jc w:val="both"/>
        <w:rPr>
          <w:rFonts w:ascii="Times New Roman" w:hAnsi="Times New Roman" w:cs="Times New Roman"/>
          <w:sz w:val="24"/>
          <w:szCs w:val="28"/>
        </w:rPr>
      </w:pPr>
      <w:r>
        <w:rPr>
          <w:rFonts w:cs="Times New Roman" w:ascii="Times New Roman" w:hAnsi="Times New Roman"/>
          <w:bCs/>
          <w:sz w:val="24"/>
          <w:szCs w:val="28"/>
        </w:rPr>
        <w:t xml:space="preserve">-Теплоснабжение </w:t>
      </w:r>
      <w:r>
        <w:rPr>
          <w:rFonts w:cs="Times New Roman" w:ascii="Times New Roman" w:hAnsi="Times New Roman"/>
          <w:sz w:val="24"/>
          <w:szCs w:val="28"/>
        </w:rPr>
        <w:t>предусмотреть от индивидуального источника тепла.</w:t>
      </w:r>
    </w:p>
    <w:p>
      <w:pPr>
        <w:pStyle w:val="Normal"/>
        <w:tabs>
          <w:tab w:val="clear" w:pos="708"/>
          <w:tab w:val="left" w:pos="1103" w:leader="none"/>
        </w:tabs>
        <w:spacing w:lineRule="auto" w:line="240" w:before="50" w:after="0"/>
        <w:ind w:firstLine="567"/>
        <w:jc w:val="both"/>
        <w:rPr>
          <w:rFonts w:ascii="Times New Roman" w:hAnsi="Times New Roman" w:cs="Times New Roman"/>
          <w:sz w:val="28"/>
          <w:szCs w:val="28"/>
        </w:rPr>
      </w:pPr>
      <w:r>
        <w:rPr>
          <w:rFonts w:cs="Times New Roman" w:ascii="Times New Roman" w:hAnsi="Times New Roman"/>
          <w:bCs/>
          <w:sz w:val="24"/>
          <w:szCs w:val="28"/>
        </w:rPr>
        <w:t xml:space="preserve">-Газоснабжение </w:t>
      </w:r>
      <w:r>
        <w:rPr>
          <w:rFonts w:cs="Times New Roman" w:ascii="Times New Roman" w:hAnsi="Times New Roman"/>
          <w:sz w:val="24"/>
          <w:szCs w:val="28"/>
        </w:rPr>
        <w:t>– данные о технической возможности подключения к газовой сети отсутствуют</w:t>
      </w:r>
      <w:r>
        <w:rPr>
          <w:rFonts w:cs="Times New Roman" w:ascii="Times New Roman" w:hAnsi="Times New Roman"/>
          <w:sz w:val="28"/>
          <w:szCs w:val="28"/>
        </w:rPr>
        <w:t>.</w:t>
      </w:r>
    </w:p>
    <w:p>
      <w:pPr>
        <w:sectPr>
          <w:footerReference w:type="even" r:id="rId27"/>
          <w:footerReference w:type="default" r:id="rId28"/>
          <w:footerReference w:type="first" r:id="rId29"/>
          <w:type w:val="nextPage"/>
          <w:pgSz w:w="11906" w:h="16838"/>
          <w:pgMar w:left="1418" w:right="991" w:gutter="0" w:header="0" w:top="568" w:footer="708" w:bottom="993"/>
          <w:pgNumType w:fmt="decimal"/>
          <w:formProt w:val="false"/>
          <w:textDirection w:val="lrTb"/>
          <w:docGrid w:type="default" w:linePitch="360" w:charSpace="24576"/>
        </w:sectPr>
        <w:pStyle w:val="Normal"/>
        <w:tabs>
          <w:tab w:val="clear" w:pos="708"/>
          <w:tab w:val="left" w:pos="1103" w:leader="none"/>
        </w:tabs>
        <w:spacing w:lineRule="auto" w:line="240" w:before="5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13"/>
        <w:rPr/>
      </w:pPr>
      <w:bookmarkStart w:id="62" w:name="_Toc224805176"/>
      <w:r>
        <w:rPr/>
        <w:t>9. РЕЗУЛЬТАТЫ ОЦЕНКИ СОВОКУПНОГО ПЛАТЕЖА ГРАЖДАН ЗА КОММУНАЛЬНЫЕ УСЛУГИ НА СООТВЕТСТВИЕ КРИТЕРИЯМ ДОСТУПНОСТИ</w:t>
      </w:r>
      <w:bookmarkEnd w:id="62"/>
    </w:p>
    <w:p>
      <w:pPr>
        <w:pStyle w:val="Normal"/>
        <w:spacing w:lineRule="auto" w:line="240" w:before="93" w:after="0"/>
        <w:ind w:right="245"/>
        <w:jc w:val="right"/>
        <w:rPr>
          <w:rFonts w:ascii="Times New Roman" w:hAnsi="Times New Roman" w:cs="Times New Roman"/>
          <w:sz w:val="24"/>
          <w:szCs w:val="24"/>
        </w:rPr>
      </w:pPr>
      <w:r>
        <w:rPr>
          <w:rFonts w:cs="Times New Roman" w:ascii="Times New Roman" w:hAnsi="Times New Roman"/>
          <w:sz w:val="24"/>
          <w:szCs w:val="24"/>
        </w:rPr>
        <w:t>Таблица 36.</w:t>
      </w:r>
    </w:p>
    <w:tbl>
      <w:tblPr>
        <w:tblW w:w="15320" w:type="dxa"/>
        <w:jc w:val="left"/>
        <w:tblInd w:w="137" w:type="dxa"/>
        <w:tblLayout w:type="fixed"/>
        <w:tblCellMar>
          <w:top w:w="0" w:type="dxa"/>
          <w:left w:w="5" w:type="dxa"/>
          <w:bottom w:w="0" w:type="dxa"/>
          <w:right w:w="5" w:type="dxa"/>
        </w:tblCellMar>
        <w:tblLook w:val="04a0"/>
      </w:tblPr>
      <w:tblGrid>
        <w:gridCol w:w="4972"/>
        <w:gridCol w:w="1444"/>
        <w:gridCol w:w="1417"/>
        <w:gridCol w:w="1705"/>
        <w:gridCol w:w="1562"/>
        <w:gridCol w:w="1421"/>
        <w:gridCol w:w="1283"/>
        <w:gridCol w:w="1514"/>
      </w:tblGrid>
      <w:tr>
        <w:trPr>
          <w:trHeight w:val="330"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211"/>
              <w:rPr>
                <w:rFonts w:ascii="Times New Roman" w:hAnsi="Times New Roman" w:cs="Times New Roman"/>
                <w:sz w:val="20"/>
                <w:szCs w:val="20"/>
              </w:rPr>
            </w:pPr>
            <w:r>
              <w:rPr>
                <w:rFonts w:cs="Times New Roman" w:ascii="Times New Roman" w:hAnsi="Times New Roman"/>
                <w:sz w:val="20"/>
                <w:szCs w:val="20"/>
              </w:rPr>
              <w:t>Коммунальные услуги</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05" w:left="188"/>
              <w:rPr>
                <w:rFonts w:ascii="Times New Roman" w:hAnsi="Times New Roman" w:cs="Times New Roman"/>
                <w:spacing w:val="-2"/>
                <w:sz w:val="20"/>
                <w:szCs w:val="20"/>
              </w:rPr>
            </w:pPr>
            <w:r>
              <w:rPr>
                <w:rFonts w:cs="Times New Roman" w:ascii="Times New Roman" w:hAnsi="Times New Roman"/>
                <w:spacing w:val="-4"/>
                <w:sz w:val="20"/>
                <w:szCs w:val="20"/>
              </w:rPr>
              <w:t xml:space="preserve">Ед. </w:t>
            </w:r>
            <w:r>
              <w:rPr>
                <w:rFonts w:cs="Times New Roman" w:ascii="Times New Roman" w:hAnsi="Times New Roman"/>
                <w:spacing w:val="-2"/>
                <w:sz w:val="20"/>
                <w:szCs w:val="20"/>
              </w:rPr>
              <w:t>измерения</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61"/>
              <w:jc w:val="center"/>
              <w:rPr>
                <w:rFonts w:ascii="Times New Roman" w:hAnsi="Times New Roman" w:cs="Times New Roman"/>
                <w:spacing w:val="-4"/>
                <w:sz w:val="20"/>
                <w:szCs w:val="20"/>
              </w:rPr>
            </w:pPr>
            <w:r>
              <w:rPr>
                <w:rFonts w:cs="Times New Roman" w:ascii="Times New Roman" w:hAnsi="Times New Roman"/>
                <w:spacing w:val="-4"/>
                <w:sz w:val="20"/>
                <w:szCs w:val="20"/>
              </w:rPr>
              <w:t>2024</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72" w:right="408"/>
              <w:jc w:val="center"/>
              <w:rPr>
                <w:rFonts w:ascii="Times New Roman" w:hAnsi="Times New Roman" w:cs="Times New Roman"/>
                <w:spacing w:val="-4"/>
                <w:sz w:val="20"/>
                <w:szCs w:val="20"/>
              </w:rPr>
            </w:pPr>
            <w:r>
              <w:rPr>
                <w:rFonts w:cs="Times New Roman" w:ascii="Times New Roman" w:hAnsi="Times New Roman"/>
                <w:spacing w:val="-4"/>
                <w:sz w:val="20"/>
                <w:szCs w:val="20"/>
              </w:rPr>
              <w:t>2025</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61"/>
              <w:jc w:val="center"/>
              <w:rPr>
                <w:rFonts w:ascii="Times New Roman" w:hAnsi="Times New Roman" w:cs="Times New Roman"/>
                <w:spacing w:val="-4"/>
                <w:sz w:val="20"/>
                <w:szCs w:val="20"/>
              </w:rPr>
            </w:pPr>
            <w:r>
              <w:rPr>
                <w:rFonts w:cs="Times New Roman" w:ascii="Times New Roman" w:hAnsi="Times New Roman"/>
                <w:spacing w:val="-4"/>
                <w:sz w:val="20"/>
                <w:szCs w:val="20"/>
              </w:rPr>
              <w:t>2026</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4" w:right="266"/>
              <w:jc w:val="center"/>
              <w:rPr>
                <w:rFonts w:ascii="Times New Roman" w:hAnsi="Times New Roman" w:cs="Times New Roman"/>
                <w:spacing w:val="-4"/>
                <w:sz w:val="20"/>
                <w:szCs w:val="20"/>
              </w:rPr>
            </w:pPr>
            <w:r>
              <w:rPr>
                <w:rFonts w:cs="Times New Roman" w:ascii="Times New Roman" w:hAnsi="Times New Roman"/>
                <w:spacing w:val="-4"/>
                <w:sz w:val="20"/>
                <w:szCs w:val="20"/>
              </w:rPr>
              <w:t>2027</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09" w:right="254"/>
              <w:jc w:val="center"/>
              <w:rPr>
                <w:rFonts w:ascii="Times New Roman" w:hAnsi="Times New Roman" w:cs="Times New Roman"/>
                <w:spacing w:val="-4"/>
                <w:sz w:val="20"/>
                <w:szCs w:val="20"/>
              </w:rPr>
            </w:pPr>
            <w:r>
              <w:rPr>
                <w:rFonts w:cs="Times New Roman" w:ascii="Times New Roman" w:hAnsi="Times New Roman"/>
                <w:spacing w:val="-4"/>
                <w:sz w:val="20"/>
                <w:szCs w:val="20"/>
              </w:rPr>
              <w:t>2028</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2029-2041</w:t>
            </w:r>
          </w:p>
        </w:tc>
      </w:tr>
      <w:tr>
        <w:trPr>
          <w:trHeight w:val="335"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right="105"/>
              <w:jc w:val="both"/>
              <w:rPr>
                <w:rFonts w:ascii="Times New Roman" w:hAnsi="Times New Roman" w:cs="Times New Roman"/>
                <w:sz w:val="20"/>
                <w:szCs w:val="20"/>
              </w:rPr>
            </w:pPr>
            <w:r>
              <w:rPr>
                <w:rFonts w:cs="Times New Roman" w:ascii="Times New Roman" w:hAnsi="Times New Roman"/>
                <w:sz w:val="20"/>
                <w:szCs w:val="20"/>
              </w:rPr>
              <w:t>Изменение общей стоимости коммунальных услуг к предыдущему году по ПКР</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7"/>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61"/>
              <w:jc w:val="center"/>
              <w:rPr>
                <w:rFonts w:ascii="Times New Roman" w:hAnsi="Times New Roman" w:cs="Times New Roman"/>
                <w:spacing w:val="-4"/>
                <w:sz w:val="20"/>
                <w:szCs w:val="20"/>
              </w:rPr>
            </w:pPr>
            <w:r>
              <w:rPr>
                <w:rFonts w:cs="Times New Roman" w:ascii="Times New Roman" w:hAnsi="Times New Roman"/>
                <w:spacing w:val="-4"/>
                <w:sz w:val="20"/>
                <w:szCs w:val="20"/>
              </w:rPr>
              <w:t>109</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72" w:right="408"/>
              <w:jc w:val="center"/>
              <w:rPr>
                <w:rFonts w:ascii="Times New Roman" w:hAnsi="Times New Roman" w:cs="Times New Roman"/>
                <w:spacing w:val="-4"/>
                <w:sz w:val="20"/>
                <w:szCs w:val="20"/>
              </w:rPr>
            </w:pPr>
            <w:r>
              <w:rPr>
                <w:rFonts w:cs="Times New Roman" w:ascii="Times New Roman" w:hAnsi="Times New Roman"/>
                <w:spacing w:val="-4"/>
                <w:sz w:val="20"/>
                <w:szCs w:val="20"/>
              </w:rPr>
              <w:t>109</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61"/>
              <w:jc w:val="center"/>
              <w:rPr>
                <w:rFonts w:ascii="Times New Roman" w:hAnsi="Times New Roman" w:cs="Times New Roman"/>
                <w:spacing w:val="-4"/>
                <w:sz w:val="20"/>
                <w:szCs w:val="20"/>
              </w:rPr>
            </w:pPr>
            <w:r>
              <w:rPr>
                <w:rFonts w:cs="Times New Roman" w:ascii="Times New Roman" w:hAnsi="Times New Roman"/>
                <w:spacing w:val="-4"/>
                <w:sz w:val="20"/>
                <w:szCs w:val="20"/>
              </w:rPr>
              <w:t>106</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4" w:right="266"/>
              <w:jc w:val="center"/>
              <w:rPr>
                <w:rFonts w:ascii="Times New Roman" w:hAnsi="Times New Roman" w:cs="Times New Roman"/>
                <w:spacing w:val="-4"/>
                <w:sz w:val="20"/>
                <w:szCs w:val="20"/>
              </w:rPr>
            </w:pPr>
            <w:r>
              <w:rPr>
                <w:rFonts w:cs="Times New Roman" w:ascii="Times New Roman" w:hAnsi="Times New Roman"/>
                <w:spacing w:val="-4"/>
                <w:sz w:val="20"/>
                <w:szCs w:val="20"/>
              </w:rPr>
              <w:t>106</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09" w:right="254"/>
              <w:jc w:val="center"/>
              <w:rPr>
                <w:rFonts w:ascii="Times New Roman" w:hAnsi="Times New Roman" w:cs="Times New Roman"/>
                <w:spacing w:val="-4"/>
                <w:sz w:val="20"/>
                <w:szCs w:val="20"/>
              </w:rPr>
            </w:pPr>
            <w:r>
              <w:rPr>
                <w:rFonts w:cs="Times New Roman" w:ascii="Times New Roman" w:hAnsi="Times New Roman"/>
                <w:spacing w:val="-4"/>
                <w:sz w:val="20"/>
                <w:szCs w:val="20"/>
              </w:rPr>
              <w:t>106</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106</w:t>
            </w:r>
          </w:p>
        </w:tc>
      </w:tr>
      <w:tr>
        <w:trPr>
          <w:trHeight w:val="275"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right="105"/>
              <w:jc w:val="both"/>
              <w:rPr>
                <w:rFonts w:ascii="Times New Roman" w:hAnsi="Times New Roman" w:cs="Times New Roman"/>
                <w:sz w:val="20"/>
                <w:szCs w:val="20"/>
              </w:rPr>
            </w:pPr>
            <w:r>
              <w:rPr>
                <w:rFonts w:cs="Times New Roman" w:ascii="Times New Roman" w:hAnsi="Times New Roman"/>
                <w:sz w:val="20"/>
                <w:szCs w:val="20"/>
              </w:rPr>
              <w:t>Инфляция среднегодовая</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7"/>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5"/>
              <w:jc w:val="center"/>
              <w:rPr>
                <w:rFonts w:ascii="Times New Roman" w:hAnsi="Times New Roman" w:cs="Times New Roman"/>
                <w:sz w:val="20"/>
                <w:szCs w:val="20"/>
              </w:rPr>
            </w:pPr>
            <w:r>
              <w:rPr>
                <w:rFonts w:cs="Times New Roman" w:ascii="Times New Roman" w:hAnsi="Times New Roman"/>
                <w:sz w:val="20"/>
                <w:szCs w:val="20"/>
              </w:rPr>
              <w:t>9</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6"/>
              <w:jc w:val="center"/>
              <w:rPr>
                <w:rFonts w:ascii="Times New Roman" w:hAnsi="Times New Roman" w:cs="Times New Roman"/>
                <w:sz w:val="20"/>
                <w:szCs w:val="20"/>
              </w:rPr>
            </w:pPr>
            <w:r>
              <w:rPr>
                <w:rFonts w:cs="Times New Roman" w:ascii="Times New Roman" w:hAnsi="Times New Roman"/>
                <w:sz w:val="20"/>
                <w:szCs w:val="20"/>
              </w:rPr>
              <w:t>9</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3" w:right="262"/>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8" w:right="266"/>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09" w:right="256"/>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4"/>
                <w:sz w:val="20"/>
                <w:szCs w:val="20"/>
              </w:rPr>
            </w:pPr>
            <w:r>
              <w:rPr>
                <w:rFonts w:cs="Times New Roman" w:ascii="Times New Roman" w:hAnsi="Times New Roman"/>
                <w:spacing w:val="-4"/>
                <w:sz w:val="20"/>
                <w:szCs w:val="20"/>
              </w:rPr>
              <w:t>6,0</w:t>
            </w:r>
          </w:p>
        </w:tc>
      </w:tr>
      <w:tr>
        <w:trPr>
          <w:trHeight w:val="487"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right="105"/>
              <w:jc w:val="both"/>
              <w:rPr>
                <w:rFonts w:ascii="Times New Roman" w:hAnsi="Times New Roman" w:cs="Times New Roman"/>
                <w:sz w:val="20"/>
                <w:szCs w:val="20"/>
              </w:rPr>
            </w:pPr>
            <w:r>
              <w:rPr>
                <w:rFonts w:cs="Times New Roman" w:ascii="Times New Roman" w:hAnsi="Times New Roman"/>
                <w:sz w:val="20"/>
                <w:szCs w:val="20"/>
              </w:rPr>
              <w:t>Совокупный доход средней семьи</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68" w:right="200"/>
              <w:jc w:val="center"/>
              <w:rPr>
                <w:rFonts w:ascii="Times New Roman" w:hAnsi="Times New Roman" w:cs="Times New Roman"/>
                <w:sz w:val="20"/>
                <w:szCs w:val="20"/>
              </w:rPr>
            </w:pPr>
            <w:r>
              <w:rPr>
                <w:rFonts w:cs="Times New Roman" w:ascii="Times New Roman" w:hAnsi="Times New Roman"/>
                <w:sz w:val="20"/>
                <w:szCs w:val="20"/>
              </w:rPr>
              <w:t>руб. /месяц</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58"/>
              <w:jc w:val="center"/>
              <w:rPr>
                <w:rFonts w:ascii="Times New Roman" w:hAnsi="Times New Roman" w:cs="Times New Roman"/>
                <w:spacing w:val="-2"/>
                <w:sz w:val="20"/>
                <w:szCs w:val="20"/>
              </w:rPr>
            </w:pPr>
            <w:r>
              <w:rPr>
                <w:rFonts w:cs="Times New Roman" w:ascii="Times New Roman" w:hAnsi="Times New Roman"/>
                <w:spacing w:val="-2"/>
                <w:sz w:val="20"/>
                <w:szCs w:val="20"/>
              </w:rPr>
              <w:t>57052,62</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75" w:right="408"/>
              <w:jc w:val="center"/>
              <w:rPr>
                <w:rFonts w:ascii="Times New Roman" w:hAnsi="Times New Roman" w:cs="Times New Roman"/>
                <w:spacing w:val="-2"/>
                <w:sz w:val="20"/>
                <w:szCs w:val="20"/>
              </w:rPr>
            </w:pPr>
            <w:r>
              <w:rPr>
                <w:rFonts w:cs="Times New Roman" w:ascii="Times New Roman" w:hAnsi="Times New Roman"/>
                <w:spacing w:val="-2"/>
                <w:sz w:val="20"/>
                <w:szCs w:val="20"/>
              </w:rPr>
              <w:t>59334,72</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3" w:right="262"/>
              <w:jc w:val="center"/>
              <w:rPr>
                <w:rFonts w:ascii="Times New Roman" w:hAnsi="Times New Roman" w:cs="Times New Roman"/>
                <w:spacing w:val="-2"/>
                <w:sz w:val="20"/>
                <w:szCs w:val="20"/>
              </w:rPr>
            </w:pPr>
            <w:r>
              <w:rPr>
                <w:rFonts w:cs="Times New Roman" w:ascii="Times New Roman" w:hAnsi="Times New Roman"/>
                <w:spacing w:val="-2"/>
                <w:sz w:val="20"/>
                <w:szCs w:val="20"/>
              </w:rPr>
              <w:t>61708,11</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8" w:right="266"/>
              <w:jc w:val="center"/>
              <w:rPr>
                <w:rFonts w:ascii="Times New Roman" w:hAnsi="Times New Roman" w:cs="Times New Roman"/>
                <w:spacing w:val="-2"/>
                <w:sz w:val="20"/>
                <w:szCs w:val="20"/>
              </w:rPr>
            </w:pPr>
            <w:r>
              <w:rPr>
                <w:rFonts w:cs="Times New Roman" w:ascii="Times New Roman" w:hAnsi="Times New Roman"/>
                <w:spacing w:val="-2"/>
                <w:sz w:val="20"/>
                <w:szCs w:val="20"/>
              </w:rPr>
              <w:t>64176,44</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209" w:right="256"/>
              <w:jc w:val="center"/>
              <w:rPr>
                <w:rFonts w:ascii="Times New Roman" w:hAnsi="Times New Roman" w:cs="Times New Roman"/>
                <w:spacing w:val="-2"/>
                <w:sz w:val="20"/>
                <w:szCs w:val="20"/>
              </w:rPr>
            </w:pPr>
            <w:r>
              <w:rPr>
                <w:rFonts w:cs="Times New Roman" w:ascii="Times New Roman" w:hAnsi="Times New Roman"/>
                <w:spacing w:val="-2"/>
                <w:sz w:val="20"/>
                <w:szCs w:val="20"/>
              </w:rPr>
              <w:t>66743,5</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69413,24-</w:t>
            </w:r>
          </w:p>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84451,81</w:t>
            </w:r>
          </w:p>
        </w:tc>
      </w:tr>
      <w:tr>
        <w:trPr>
          <w:trHeight w:val="409"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5" w:right="105"/>
              <w:jc w:val="both"/>
              <w:rPr>
                <w:rFonts w:ascii="Times New Roman" w:hAnsi="Times New Roman" w:cs="Times New Roman"/>
                <w:sz w:val="20"/>
                <w:szCs w:val="20"/>
              </w:rPr>
            </w:pPr>
            <w:r>
              <w:rPr>
                <w:rFonts w:cs="Times New Roman" w:ascii="Times New Roman" w:hAnsi="Times New Roman"/>
                <w:sz w:val="20"/>
                <w:szCs w:val="20"/>
              </w:rPr>
              <w:t>Затраты на коммунальные услуги средней семьи, которая составила 2,8 чел., руб.</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168" w:right="200"/>
              <w:jc w:val="center"/>
              <w:rPr>
                <w:rFonts w:ascii="Times New Roman" w:hAnsi="Times New Roman" w:cs="Times New Roman"/>
                <w:sz w:val="20"/>
                <w:szCs w:val="20"/>
              </w:rPr>
            </w:pPr>
            <w:r>
              <w:rPr>
                <w:rFonts w:cs="Times New Roman" w:ascii="Times New Roman" w:hAnsi="Times New Roman"/>
                <w:sz w:val="20"/>
                <w:szCs w:val="20"/>
              </w:rPr>
              <w:t>руб. /месяц</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226" w:right="261"/>
              <w:jc w:val="center"/>
              <w:rPr>
                <w:rFonts w:ascii="Times New Roman" w:hAnsi="Times New Roman" w:cs="Times New Roman"/>
                <w:spacing w:val="-4"/>
                <w:sz w:val="20"/>
                <w:szCs w:val="20"/>
              </w:rPr>
            </w:pPr>
            <w:r>
              <w:rPr>
                <w:rFonts w:cs="Times New Roman" w:ascii="Times New Roman" w:hAnsi="Times New Roman"/>
                <w:spacing w:val="-4"/>
                <w:sz w:val="20"/>
                <w:szCs w:val="20"/>
              </w:rPr>
              <w:t>5050</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372" w:right="408"/>
              <w:jc w:val="center"/>
              <w:rPr>
                <w:rFonts w:ascii="Times New Roman" w:hAnsi="Times New Roman" w:cs="Times New Roman"/>
                <w:spacing w:val="-4"/>
                <w:sz w:val="20"/>
                <w:szCs w:val="20"/>
              </w:rPr>
            </w:pPr>
            <w:r>
              <w:rPr>
                <w:rFonts w:cs="Times New Roman" w:ascii="Times New Roman" w:hAnsi="Times New Roman"/>
                <w:spacing w:val="-4"/>
                <w:sz w:val="20"/>
                <w:szCs w:val="20"/>
              </w:rPr>
              <w:t>5181</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223" w:right="262"/>
              <w:jc w:val="center"/>
              <w:rPr>
                <w:rFonts w:ascii="Times New Roman" w:hAnsi="Times New Roman" w:cs="Times New Roman"/>
                <w:spacing w:val="-2"/>
                <w:sz w:val="20"/>
                <w:szCs w:val="20"/>
              </w:rPr>
            </w:pPr>
            <w:r>
              <w:rPr>
                <w:rFonts w:cs="Times New Roman" w:ascii="Times New Roman" w:hAnsi="Times New Roman"/>
                <w:spacing w:val="-2"/>
                <w:sz w:val="20"/>
                <w:szCs w:val="20"/>
              </w:rPr>
              <w:t>5388,6</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224" w:right="266"/>
              <w:jc w:val="center"/>
              <w:rPr>
                <w:rFonts w:ascii="Times New Roman" w:hAnsi="Times New Roman" w:cs="Times New Roman"/>
                <w:spacing w:val="-4"/>
                <w:sz w:val="20"/>
                <w:szCs w:val="20"/>
              </w:rPr>
            </w:pPr>
            <w:r>
              <w:rPr>
                <w:rFonts w:cs="Times New Roman" w:ascii="Times New Roman" w:hAnsi="Times New Roman"/>
                <w:spacing w:val="-4"/>
                <w:sz w:val="20"/>
                <w:szCs w:val="20"/>
              </w:rPr>
              <w:t>5604</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38" w:after="0"/>
              <w:ind w:left="209" w:right="254"/>
              <w:jc w:val="center"/>
              <w:rPr>
                <w:rFonts w:ascii="Times New Roman" w:hAnsi="Times New Roman" w:cs="Times New Roman"/>
                <w:spacing w:val="-4"/>
                <w:sz w:val="20"/>
                <w:szCs w:val="20"/>
              </w:rPr>
            </w:pPr>
            <w:r>
              <w:rPr>
                <w:rFonts w:cs="Times New Roman" w:ascii="Times New Roman" w:hAnsi="Times New Roman"/>
                <w:spacing w:val="-4"/>
                <w:sz w:val="20"/>
                <w:szCs w:val="20"/>
              </w:rPr>
              <w:t>5828</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6061-</w:t>
            </w:r>
          </w:p>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7374,6</w:t>
            </w:r>
          </w:p>
        </w:tc>
      </w:tr>
      <w:tr>
        <w:trPr>
          <w:trHeight w:val="982" w:hRule="atLeast"/>
        </w:trPr>
        <w:tc>
          <w:tcPr>
            <w:tcW w:w="49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 w:after="0"/>
              <w:ind w:left="105" w:right="105"/>
              <w:jc w:val="both"/>
              <w:rPr>
                <w:rFonts w:ascii="Times New Roman" w:hAnsi="Times New Roman" w:cs="Times New Roman"/>
                <w:sz w:val="20"/>
                <w:szCs w:val="20"/>
              </w:rPr>
            </w:pPr>
            <w:r>
              <w:rPr>
                <w:rFonts w:cs="Times New Roman" w:ascii="Times New Roman" w:hAnsi="Times New Roman"/>
                <w:sz w:val="20"/>
                <w:szCs w:val="20"/>
              </w:rPr>
              <w:t>Доля расходов на коммунальные услуги в совокупном доходе семьи (при тарифах, не включающих источники финансирования Программы комплексного развития коммунальной инфраструктуры) в соответствии с нормативным расходом</w:t>
            </w:r>
          </w:p>
        </w:tc>
        <w:tc>
          <w:tcPr>
            <w:tcW w:w="14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7"/>
              <w:jc w:val="center"/>
              <w:rPr>
                <w:rFonts w:ascii="Times New Roman" w:hAnsi="Times New Roman" w:cs="Times New Roman"/>
                <w:w w:val="99"/>
                <w:sz w:val="20"/>
                <w:szCs w:val="20"/>
              </w:rPr>
            </w:pPr>
            <w:r>
              <w:rPr>
                <w:rFonts w:cs="Times New Roman" w:ascii="Times New Roman" w:hAnsi="Times New Roman"/>
                <w:w w:val="99"/>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6" w:right="258"/>
              <w:jc w:val="center"/>
              <w:rPr>
                <w:rFonts w:ascii="Times New Roman" w:hAnsi="Times New Roman" w:cs="Times New Roman"/>
                <w:spacing w:val="-4"/>
                <w:sz w:val="20"/>
                <w:szCs w:val="20"/>
              </w:rPr>
            </w:pPr>
            <w:r>
              <w:rPr>
                <w:rFonts w:cs="Times New Roman" w:ascii="Times New Roman" w:hAnsi="Times New Roman"/>
                <w:spacing w:val="-4"/>
                <w:sz w:val="20"/>
                <w:szCs w:val="20"/>
              </w:rPr>
              <w:t>8,85</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75" w:right="407"/>
              <w:jc w:val="center"/>
              <w:rPr>
                <w:rFonts w:ascii="Times New Roman" w:hAnsi="Times New Roman" w:cs="Times New Roman"/>
                <w:spacing w:val="-4"/>
                <w:sz w:val="20"/>
                <w:szCs w:val="20"/>
              </w:rPr>
            </w:pPr>
            <w:r>
              <w:rPr>
                <w:rFonts w:cs="Times New Roman" w:ascii="Times New Roman" w:hAnsi="Times New Roman"/>
                <w:spacing w:val="-4"/>
                <w:sz w:val="20"/>
                <w:szCs w:val="20"/>
              </w:rPr>
              <w:t>8,73</w:t>
            </w:r>
          </w:p>
        </w:tc>
        <w:tc>
          <w:tcPr>
            <w:tcW w:w="15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3" w:right="262"/>
              <w:jc w:val="center"/>
              <w:rPr>
                <w:rFonts w:ascii="Times New Roman" w:hAnsi="Times New Roman" w:cs="Times New Roman"/>
                <w:spacing w:val="-4"/>
                <w:sz w:val="20"/>
                <w:szCs w:val="20"/>
              </w:rPr>
            </w:pPr>
            <w:r>
              <w:rPr>
                <w:rFonts w:cs="Times New Roman" w:ascii="Times New Roman" w:hAnsi="Times New Roman"/>
                <w:spacing w:val="-4"/>
                <w:sz w:val="20"/>
                <w:szCs w:val="20"/>
              </w:rPr>
              <w:t>8,73</w:t>
            </w:r>
          </w:p>
        </w:tc>
        <w:tc>
          <w:tcPr>
            <w:tcW w:w="14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28" w:right="266"/>
              <w:jc w:val="center"/>
              <w:rPr>
                <w:rFonts w:ascii="Times New Roman" w:hAnsi="Times New Roman" w:cs="Times New Roman"/>
                <w:spacing w:val="-4"/>
                <w:sz w:val="20"/>
                <w:szCs w:val="20"/>
              </w:rPr>
            </w:pPr>
            <w:r>
              <w:rPr>
                <w:rFonts w:cs="Times New Roman" w:ascii="Times New Roman" w:hAnsi="Times New Roman"/>
                <w:spacing w:val="-4"/>
                <w:sz w:val="20"/>
                <w:szCs w:val="20"/>
              </w:rPr>
              <w:t>8,73</w:t>
            </w:r>
          </w:p>
        </w:tc>
        <w:tc>
          <w:tcPr>
            <w:tcW w:w="1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09" w:right="256"/>
              <w:jc w:val="center"/>
              <w:rPr>
                <w:rFonts w:ascii="Times New Roman" w:hAnsi="Times New Roman" w:cs="Times New Roman"/>
                <w:spacing w:val="-4"/>
                <w:sz w:val="20"/>
                <w:szCs w:val="20"/>
              </w:rPr>
            </w:pPr>
            <w:r>
              <w:rPr>
                <w:rFonts w:cs="Times New Roman" w:ascii="Times New Roman" w:hAnsi="Times New Roman"/>
                <w:spacing w:val="-4"/>
                <w:sz w:val="20"/>
                <w:szCs w:val="20"/>
              </w:rPr>
              <w:t>8,73</w:t>
            </w:r>
          </w:p>
        </w:tc>
        <w:tc>
          <w:tcPr>
            <w:tcW w:w="15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pacing w:val="-2"/>
                <w:sz w:val="20"/>
                <w:szCs w:val="20"/>
              </w:rPr>
            </w:pPr>
            <w:r>
              <w:rPr>
                <w:rFonts w:cs="Times New Roman" w:ascii="Times New Roman" w:hAnsi="Times New Roman"/>
                <w:spacing w:val="-2"/>
                <w:sz w:val="20"/>
                <w:szCs w:val="20"/>
              </w:rPr>
              <w:t>8,73-8,73</w:t>
            </w:r>
          </w:p>
        </w:tc>
      </w:tr>
    </w:tbl>
    <w:p>
      <w:pPr>
        <w:pStyle w:val="Normal"/>
        <w:spacing w:lineRule="auto" w:line="240" w:before="0" w:after="0"/>
        <w:ind w:firstLine="567" w:right="-740"/>
        <w:jc w:val="both"/>
        <w:rPr>
          <w:rFonts w:ascii="Times New Roman" w:hAnsi="Times New Roman" w:cs="Times New Roman"/>
          <w:sz w:val="24"/>
          <w:szCs w:val="28"/>
        </w:rPr>
      </w:pPr>
      <w:r>
        <w:rPr>
          <w:rFonts w:cs="Times New Roman" w:ascii="Times New Roman" w:hAnsi="Times New Roman"/>
          <w:sz w:val="24"/>
          <w:szCs w:val="28"/>
        </w:rPr>
        <w:t>Как видно из таблицы, в динамике происходит рост % платежей (от совокупного дохода семьи) за коммунальные слуги до 2041г.</w:t>
      </w:r>
    </w:p>
    <w:p>
      <w:pPr>
        <w:pStyle w:val="Normal"/>
        <w:spacing w:lineRule="auto" w:line="240" w:before="0" w:after="0"/>
        <w:ind w:firstLine="567" w:right="-740"/>
        <w:jc w:val="both"/>
        <w:rPr>
          <w:rFonts w:ascii="Times New Roman" w:hAnsi="Times New Roman" w:cs="Times New Roman"/>
          <w:sz w:val="24"/>
          <w:szCs w:val="28"/>
        </w:rPr>
      </w:pPr>
      <w:r>
        <w:rPr>
          <w:rFonts w:cs="Times New Roman" w:ascii="Times New Roman" w:hAnsi="Times New Roman"/>
          <w:sz w:val="24"/>
          <w:szCs w:val="28"/>
        </w:rPr>
        <w:t>Совокупный доход семьи в данной программе рассчитан на основе того, что Семья в Ставропольском крае состоит из 2,8 человек, в том числе: 1,6-трудоспособное население, 0,7-в возрасте старше трудоспособного, 0,5-моложе трудоспособного. Рост трудоспособного населения рассчитан на основе генерального плана. Среднемесячная зарплата размер пенсии в составе дохода семьи в Туркменском муниципальном округе принят в размере средней зарплаты и пенсии по Ставропольскому краю.</w:t>
      </w:r>
    </w:p>
    <w:p>
      <w:pPr>
        <w:pStyle w:val="Normal"/>
        <w:spacing w:lineRule="auto" w:line="240" w:before="1" w:after="0"/>
        <w:ind w:firstLine="567" w:right="-740"/>
        <w:jc w:val="both"/>
        <w:rPr>
          <w:rFonts w:ascii="Times New Roman" w:hAnsi="Times New Roman" w:cs="Times New Roman"/>
          <w:sz w:val="24"/>
          <w:szCs w:val="28"/>
        </w:rPr>
      </w:pPr>
      <w:r>
        <w:rPr>
          <w:rFonts w:cs="Times New Roman" w:ascii="Times New Roman" w:hAnsi="Times New Roman"/>
          <w:sz w:val="24"/>
          <w:szCs w:val="28"/>
        </w:rPr>
        <w:t>Динамика роста средней заработной платы и средней пенсии рассчитана на основе прогноза индексов– дефляторов и инфляции до 2041г.в%, (утверждённая Приказом министерства регионального развития РФ от 23 августа 2010г. № 378 «Об утверждении методических указаний по расчёту предельных индексов изменения размера платы граждан за коммунальные услуги»).</w:t>
      </w:r>
    </w:p>
    <w:p>
      <w:pPr>
        <w:pStyle w:val="Normal"/>
        <w:spacing w:lineRule="auto" w:line="240" w:before="0" w:after="0"/>
        <w:ind w:firstLine="567" w:right="-740"/>
        <w:jc w:val="both"/>
        <w:rPr>
          <w:rFonts w:ascii="Times New Roman" w:hAnsi="Times New Roman" w:cs="Times New Roman"/>
          <w:sz w:val="24"/>
          <w:szCs w:val="28"/>
        </w:rPr>
      </w:pPr>
      <w:r>
        <w:rPr>
          <w:rFonts w:cs="Times New Roman" w:ascii="Times New Roman" w:hAnsi="Times New Roman"/>
          <w:sz w:val="24"/>
          <w:szCs w:val="28"/>
        </w:rPr>
        <w:t>Платежи Семьи за коммунальные услуги рассчитаны в соответствии с нормами затрат на электроснабжение, холодное водоснабжение и газоснабжение.</w:t>
      </w:r>
    </w:p>
    <w:p>
      <w:pPr>
        <w:pStyle w:val="Normal"/>
        <w:spacing w:lineRule="auto" w:line="240" w:before="0" w:after="0"/>
        <w:ind w:firstLine="567" w:left="40" w:right="-740"/>
        <w:jc w:val="both"/>
        <w:rPr>
          <w:rFonts w:ascii="Times New Roman" w:hAnsi="Times New Roman" w:cs="Times New Roman"/>
          <w:sz w:val="24"/>
          <w:szCs w:val="28"/>
        </w:rPr>
      </w:pPr>
      <w:r>
        <w:rPr>
          <w:rFonts w:cs="Times New Roman" w:ascii="Times New Roman" w:hAnsi="Times New Roman"/>
          <w:sz w:val="24"/>
          <w:szCs w:val="28"/>
        </w:rPr>
        <w:t>Для расчетов затрат приняты тарифы, установленные региональной тарифной комиссией Ставропольского края в соответствии с действующим законодательством.</w:t>
      </w:r>
    </w:p>
    <w:p>
      <w:pPr>
        <w:pStyle w:val="Normal"/>
        <w:spacing w:lineRule="auto" w:line="240" w:before="0" w:after="0"/>
        <w:ind w:firstLine="1418" w:left="40"/>
        <w:jc w:val="right"/>
        <w:rPr>
          <w:rFonts w:ascii="Times New Roman" w:hAnsi="Times New Roman" w:cs="Times New Roman"/>
          <w:sz w:val="24"/>
          <w:szCs w:val="28"/>
        </w:rPr>
      </w:pPr>
      <w:r>
        <w:rPr>
          <w:rFonts w:cs="Times New Roman" w:ascii="Times New Roman" w:hAnsi="Times New Roman"/>
          <w:sz w:val="24"/>
          <w:szCs w:val="28"/>
        </w:rPr>
        <w:t>Таблица 37.</w:t>
      </w:r>
    </w:p>
    <w:p>
      <w:pPr>
        <w:pStyle w:val="Normal"/>
        <w:spacing w:lineRule="auto" w:line="240" w:before="0" w:after="0"/>
        <w:ind w:firstLine="1418" w:left="40"/>
        <w:jc w:val="center"/>
        <w:rPr>
          <w:rFonts w:ascii="Times New Roman" w:hAnsi="Times New Roman" w:cs="Times New Roman"/>
          <w:sz w:val="24"/>
          <w:szCs w:val="28"/>
        </w:rPr>
      </w:pPr>
      <w:r>
        <w:rPr>
          <w:rFonts w:cs="Times New Roman" w:ascii="Times New Roman" w:hAnsi="Times New Roman"/>
          <w:sz w:val="24"/>
          <w:szCs w:val="28"/>
        </w:rPr>
        <w:t>Состав затрат для расчета расходов семьи на коммунальные услуги</w:t>
      </w:r>
    </w:p>
    <w:p>
      <w:pPr>
        <w:pStyle w:val="Normal"/>
        <w:spacing w:lineRule="auto" w:line="240" w:before="5" w:after="1"/>
        <w:rPr>
          <w:rFonts w:ascii="Times New Roman" w:hAnsi="Times New Roman" w:cs="Times New Roman"/>
          <w:sz w:val="14"/>
          <w:szCs w:val="14"/>
        </w:rPr>
      </w:pPr>
      <w:r>
        <w:rPr>
          <w:rFonts w:cs="Times New Roman" w:ascii="Times New Roman" w:hAnsi="Times New Roman"/>
          <w:sz w:val="14"/>
          <w:szCs w:val="14"/>
        </w:rPr>
      </w:r>
    </w:p>
    <w:tbl>
      <w:tblPr>
        <w:tblW w:w="15355" w:type="dxa"/>
        <w:jc w:val="left"/>
        <w:tblInd w:w="131" w:type="dxa"/>
        <w:tblLayout w:type="fixed"/>
        <w:tblCellMar>
          <w:top w:w="0" w:type="dxa"/>
          <w:left w:w="5" w:type="dxa"/>
          <w:bottom w:w="0" w:type="dxa"/>
          <w:right w:w="5" w:type="dxa"/>
        </w:tblCellMar>
        <w:tblLook w:val="04a0"/>
      </w:tblPr>
      <w:tblGrid>
        <w:gridCol w:w="4428"/>
        <w:gridCol w:w="1554"/>
        <w:gridCol w:w="1394"/>
        <w:gridCol w:w="1402"/>
        <w:gridCol w:w="1258"/>
        <w:gridCol w:w="1646"/>
        <w:gridCol w:w="1561"/>
        <w:gridCol w:w="2110"/>
      </w:tblGrid>
      <w:tr>
        <w:trPr>
          <w:trHeight w:val="293"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38"/>
              <w:rPr>
                <w:rFonts w:ascii="Times New Roman" w:hAnsi="Times New Roman" w:cs="Times New Roman"/>
                <w:sz w:val="20"/>
                <w:szCs w:val="20"/>
              </w:rPr>
            </w:pPr>
            <w:r>
              <w:rPr>
                <w:rFonts w:cs="Times New Roman" w:ascii="Times New Roman" w:hAnsi="Times New Roman"/>
                <w:sz w:val="20"/>
                <w:szCs w:val="20"/>
              </w:rPr>
              <w:t>Коммунальные услуги</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05" w:left="167"/>
              <w:rPr>
                <w:rFonts w:ascii="Times New Roman" w:hAnsi="Times New Roman" w:cs="Times New Roman"/>
                <w:spacing w:val="-2"/>
                <w:sz w:val="20"/>
                <w:szCs w:val="20"/>
              </w:rPr>
            </w:pPr>
            <w:r>
              <w:rPr>
                <w:rFonts w:cs="Times New Roman" w:ascii="Times New Roman" w:hAnsi="Times New Roman"/>
                <w:spacing w:val="-4"/>
                <w:sz w:val="20"/>
                <w:szCs w:val="20"/>
              </w:rPr>
              <w:t xml:space="preserve">Ед. </w:t>
            </w:r>
            <w:r>
              <w:rPr>
                <w:rFonts w:cs="Times New Roman" w:ascii="Times New Roman" w:hAnsi="Times New Roman"/>
                <w:spacing w:val="-2"/>
                <w:sz w:val="20"/>
                <w:szCs w:val="20"/>
              </w:rPr>
              <w:t>измерения</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23"/>
              <w:rPr>
                <w:rFonts w:ascii="Times New Roman" w:hAnsi="Times New Roman" w:cs="Times New Roman"/>
                <w:spacing w:val="-4"/>
                <w:sz w:val="20"/>
                <w:szCs w:val="20"/>
              </w:rPr>
            </w:pPr>
            <w:r>
              <w:rPr>
                <w:rFonts w:cs="Times New Roman" w:ascii="Times New Roman" w:hAnsi="Times New Roman"/>
                <w:spacing w:val="-4"/>
                <w:sz w:val="20"/>
                <w:szCs w:val="20"/>
              </w:rPr>
              <w:t>2024</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28"/>
              <w:rPr>
                <w:rFonts w:ascii="Times New Roman" w:hAnsi="Times New Roman" w:cs="Times New Roman"/>
                <w:spacing w:val="-4"/>
                <w:sz w:val="20"/>
                <w:szCs w:val="20"/>
              </w:rPr>
            </w:pPr>
            <w:r>
              <w:rPr>
                <w:rFonts w:cs="Times New Roman" w:ascii="Times New Roman" w:hAnsi="Times New Roman"/>
                <w:spacing w:val="-4"/>
                <w:sz w:val="20"/>
                <w:szCs w:val="20"/>
              </w:rPr>
              <w:t>2025</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55"/>
              <w:rPr>
                <w:rFonts w:ascii="Times New Roman" w:hAnsi="Times New Roman" w:cs="Times New Roman"/>
                <w:spacing w:val="-4"/>
                <w:sz w:val="20"/>
                <w:szCs w:val="20"/>
              </w:rPr>
            </w:pPr>
            <w:r>
              <w:rPr>
                <w:rFonts w:cs="Times New Roman" w:ascii="Times New Roman" w:hAnsi="Times New Roman"/>
                <w:spacing w:val="-4"/>
                <w:sz w:val="20"/>
                <w:szCs w:val="20"/>
              </w:rPr>
              <w:t>2026</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0"/>
              <w:jc w:val="center"/>
              <w:rPr>
                <w:rFonts w:ascii="Times New Roman" w:hAnsi="Times New Roman" w:cs="Times New Roman"/>
                <w:spacing w:val="-4"/>
                <w:sz w:val="20"/>
                <w:szCs w:val="20"/>
              </w:rPr>
            </w:pPr>
            <w:r>
              <w:rPr>
                <w:rFonts w:cs="Times New Roman" w:ascii="Times New Roman" w:hAnsi="Times New Roman"/>
                <w:spacing w:val="-4"/>
                <w:sz w:val="20"/>
                <w:szCs w:val="20"/>
              </w:rPr>
              <w:t>2027</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44"/>
              <w:rPr>
                <w:rFonts w:ascii="Times New Roman" w:hAnsi="Times New Roman" w:cs="Times New Roman"/>
                <w:spacing w:val="-4"/>
                <w:sz w:val="20"/>
                <w:szCs w:val="20"/>
              </w:rPr>
            </w:pPr>
            <w:r>
              <w:rPr>
                <w:rFonts w:cs="Times New Roman" w:ascii="Times New Roman" w:hAnsi="Times New Roman"/>
                <w:spacing w:val="-4"/>
                <w:sz w:val="20"/>
                <w:szCs w:val="20"/>
              </w:rPr>
              <w:t>2028</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01"/>
              <w:jc w:val="center"/>
              <w:rPr>
                <w:rFonts w:ascii="Times New Roman" w:hAnsi="Times New Roman" w:cs="Times New Roman"/>
                <w:spacing w:val="-2"/>
                <w:sz w:val="20"/>
                <w:szCs w:val="20"/>
              </w:rPr>
            </w:pPr>
            <w:r>
              <w:rPr>
                <w:rFonts w:cs="Times New Roman" w:ascii="Times New Roman" w:hAnsi="Times New Roman"/>
                <w:spacing w:val="-2"/>
                <w:sz w:val="20"/>
                <w:szCs w:val="20"/>
              </w:rPr>
              <w:t>2029-2041</w:t>
            </w:r>
          </w:p>
        </w:tc>
      </w:tr>
      <w:tr>
        <w:trPr>
          <w:trHeight w:val="276"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Затраты1 человека на электроэнергию</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7" w:right="182"/>
              <w:jc w:val="center"/>
              <w:rPr>
                <w:rFonts w:ascii="Times New Roman" w:hAnsi="Times New Roman" w:cs="Times New Roman"/>
                <w:sz w:val="20"/>
                <w:szCs w:val="20"/>
              </w:rPr>
            </w:pPr>
            <w:r>
              <w:rPr>
                <w:rFonts w:cs="Times New Roman" w:ascii="Times New Roman" w:hAnsi="Times New Roman"/>
                <w:sz w:val="20"/>
                <w:szCs w:val="20"/>
              </w:rPr>
              <w:t>руб. /месяц</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29"/>
              <w:jc w:val="right"/>
              <w:rPr>
                <w:rFonts w:ascii="Times New Roman" w:hAnsi="Times New Roman" w:cs="Times New Roman"/>
                <w:spacing w:val="-2"/>
                <w:sz w:val="20"/>
                <w:szCs w:val="20"/>
              </w:rPr>
            </w:pPr>
            <w:r>
              <w:rPr>
                <w:rFonts w:cs="Times New Roman" w:ascii="Times New Roman" w:hAnsi="Times New Roman"/>
                <w:spacing w:val="-2"/>
                <w:sz w:val="20"/>
                <w:szCs w:val="20"/>
              </w:rPr>
              <w:t>325,6</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96"/>
              <w:rPr>
                <w:rFonts w:ascii="Times New Roman" w:hAnsi="Times New Roman" w:cs="Times New Roman"/>
                <w:spacing w:val="-2"/>
                <w:sz w:val="20"/>
                <w:szCs w:val="20"/>
              </w:rPr>
            </w:pPr>
            <w:r>
              <w:rPr>
                <w:rFonts w:cs="Times New Roman" w:ascii="Times New Roman" w:hAnsi="Times New Roman"/>
                <w:spacing w:val="-2"/>
                <w:sz w:val="20"/>
                <w:szCs w:val="20"/>
              </w:rPr>
              <w:t>339,3</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59"/>
              <w:jc w:val="right"/>
              <w:rPr>
                <w:rFonts w:ascii="Times New Roman" w:hAnsi="Times New Roman" w:cs="Times New Roman"/>
                <w:spacing w:val="-2"/>
                <w:sz w:val="20"/>
                <w:szCs w:val="20"/>
              </w:rPr>
            </w:pPr>
            <w:r>
              <w:rPr>
                <w:rFonts w:cs="Times New Roman" w:ascii="Times New Roman" w:hAnsi="Times New Roman"/>
                <w:spacing w:val="-2"/>
                <w:sz w:val="20"/>
                <w:szCs w:val="20"/>
              </w:rPr>
              <w:t>353,5</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3"/>
              <w:jc w:val="center"/>
              <w:rPr>
                <w:rFonts w:ascii="Times New Roman" w:hAnsi="Times New Roman" w:cs="Times New Roman"/>
                <w:spacing w:val="-2"/>
                <w:sz w:val="20"/>
                <w:szCs w:val="20"/>
              </w:rPr>
            </w:pPr>
            <w:r>
              <w:rPr>
                <w:rFonts w:cs="Times New Roman" w:ascii="Times New Roman" w:hAnsi="Times New Roman"/>
                <w:spacing w:val="-2"/>
                <w:sz w:val="20"/>
                <w:szCs w:val="20"/>
              </w:rPr>
              <w:t>465,2</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5"/>
              <w:rPr>
                <w:rFonts w:ascii="Times New Roman" w:hAnsi="Times New Roman" w:cs="Times New Roman"/>
                <w:spacing w:val="-2"/>
                <w:sz w:val="20"/>
                <w:szCs w:val="20"/>
              </w:rPr>
            </w:pPr>
            <w:r>
              <w:rPr>
                <w:rFonts w:cs="Times New Roman" w:ascii="Times New Roman" w:hAnsi="Times New Roman"/>
                <w:spacing w:val="-2"/>
                <w:sz w:val="20"/>
                <w:szCs w:val="20"/>
              </w:rPr>
              <w:t>483,8</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41"/>
              <w:jc w:val="center"/>
              <w:rPr>
                <w:rFonts w:ascii="Times New Roman" w:hAnsi="Times New Roman" w:cs="Times New Roman"/>
                <w:spacing w:val="-2"/>
                <w:sz w:val="20"/>
                <w:szCs w:val="20"/>
              </w:rPr>
            </w:pPr>
            <w:r>
              <w:rPr>
                <w:rFonts w:cs="Times New Roman" w:ascii="Times New Roman" w:hAnsi="Times New Roman"/>
                <w:spacing w:val="-2"/>
                <w:sz w:val="20"/>
                <w:szCs w:val="20"/>
              </w:rPr>
              <w:t>503,2-640,6</w:t>
            </w:r>
          </w:p>
        </w:tc>
      </w:tr>
      <w:tr>
        <w:trPr>
          <w:trHeight w:val="148"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pacing w:val="-2"/>
                <w:sz w:val="20"/>
                <w:szCs w:val="20"/>
              </w:rPr>
            </w:pPr>
            <w:r>
              <w:rPr>
                <w:rFonts w:cs="Times New Roman" w:ascii="Times New Roman" w:hAnsi="Times New Roman"/>
                <w:sz w:val="20"/>
                <w:szCs w:val="20"/>
              </w:rPr>
              <w:t xml:space="preserve">Затраты1человеканахолодное </w:t>
            </w:r>
            <w:r>
              <w:rPr>
                <w:rFonts w:cs="Times New Roman" w:ascii="Times New Roman" w:hAnsi="Times New Roman"/>
                <w:spacing w:val="-2"/>
                <w:sz w:val="20"/>
                <w:szCs w:val="20"/>
              </w:rPr>
              <w:t>водоснабжение</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7" w:right="180"/>
              <w:jc w:val="center"/>
              <w:rPr>
                <w:rFonts w:ascii="Times New Roman" w:hAnsi="Times New Roman" w:cs="Times New Roman"/>
                <w:spacing w:val="-2"/>
                <w:sz w:val="20"/>
                <w:szCs w:val="20"/>
              </w:rPr>
            </w:pPr>
            <w:r>
              <w:rPr>
                <w:rFonts w:cs="Times New Roman" w:ascii="Times New Roman" w:hAnsi="Times New Roman"/>
                <w:spacing w:val="-2"/>
                <w:sz w:val="20"/>
                <w:szCs w:val="20"/>
              </w:rPr>
              <w:t>руб./месяц</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29"/>
              <w:jc w:val="right"/>
              <w:rPr>
                <w:rFonts w:ascii="Times New Roman" w:hAnsi="Times New Roman" w:cs="Times New Roman"/>
                <w:spacing w:val="-2"/>
                <w:sz w:val="20"/>
                <w:szCs w:val="20"/>
              </w:rPr>
            </w:pPr>
            <w:r>
              <w:rPr>
                <w:rFonts w:cs="Times New Roman" w:ascii="Times New Roman" w:hAnsi="Times New Roman"/>
                <w:spacing w:val="-2"/>
                <w:sz w:val="20"/>
                <w:szCs w:val="20"/>
              </w:rPr>
              <w:t>276,4</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96"/>
              <w:rPr>
                <w:rFonts w:ascii="Times New Roman" w:hAnsi="Times New Roman" w:cs="Times New Roman"/>
                <w:spacing w:val="-2"/>
                <w:sz w:val="20"/>
                <w:szCs w:val="20"/>
              </w:rPr>
            </w:pPr>
            <w:r>
              <w:rPr>
                <w:rFonts w:cs="Times New Roman" w:ascii="Times New Roman" w:hAnsi="Times New Roman"/>
                <w:spacing w:val="-2"/>
                <w:sz w:val="20"/>
                <w:szCs w:val="20"/>
              </w:rPr>
              <w:t>287,4</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59"/>
              <w:jc w:val="right"/>
              <w:rPr>
                <w:rFonts w:ascii="Times New Roman" w:hAnsi="Times New Roman" w:cs="Times New Roman"/>
                <w:spacing w:val="-2"/>
                <w:sz w:val="20"/>
                <w:szCs w:val="20"/>
              </w:rPr>
            </w:pPr>
            <w:r>
              <w:rPr>
                <w:rFonts w:cs="Times New Roman" w:ascii="Times New Roman" w:hAnsi="Times New Roman"/>
                <w:spacing w:val="-2"/>
                <w:sz w:val="20"/>
                <w:szCs w:val="20"/>
              </w:rPr>
              <w:t>298,9</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3"/>
              <w:jc w:val="center"/>
              <w:rPr>
                <w:rFonts w:ascii="Times New Roman" w:hAnsi="Times New Roman" w:cs="Times New Roman"/>
                <w:spacing w:val="-2"/>
                <w:sz w:val="20"/>
                <w:szCs w:val="20"/>
              </w:rPr>
            </w:pPr>
            <w:r>
              <w:rPr>
                <w:rFonts w:cs="Times New Roman" w:ascii="Times New Roman" w:hAnsi="Times New Roman"/>
                <w:spacing w:val="-2"/>
                <w:sz w:val="20"/>
                <w:szCs w:val="20"/>
              </w:rPr>
              <w:t>310,9</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5"/>
              <w:rPr>
                <w:rFonts w:ascii="Times New Roman" w:hAnsi="Times New Roman" w:cs="Times New Roman"/>
                <w:spacing w:val="-2"/>
                <w:sz w:val="20"/>
                <w:szCs w:val="20"/>
              </w:rPr>
            </w:pPr>
            <w:r>
              <w:rPr>
                <w:rFonts w:cs="Times New Roman" w:ascii="Times New Roman" w:hAnsi="Times New Roman"/>
                <w:spacing w:val="-2"/>
                <w:sz w:val="20"/>
                <w:szCs w:val="20"/>
              </w:rPr>
              <w:t>323,3</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1"/>
              <w:rPr>
                <w:rFonts w:ascii="Times New Roman" w:hAnsi="Times New Roman" w:cs="Times New Roman"/>
                <w:spacing w:val="-2"/>
                <w:sz w:val="20"/>
                <w:szCs w:val="20"/>
              </w:rPr>
            </w:pPr>
            <w:r>
              <w:rPr>
                <w:rFonts w:cs="Times New Roman" w:ascii="Times New Roman" w:hAnsi="Times New Roman"/>
                <w:spacing w:val="-2"/>
                <w:sz w:val="20"/>
                <w:szCs w:val="20"/>
              </w:rPr>
              <w:t>371,8</w:t>
            </w:r>
          </w:p>
        </w:tc>
      </w:tr>
      <w:tr>
        <w:trPr>
          <w:trHeight w:val="275"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Затраты1 человека на водоотведение</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7" w:right="182"/>
              <w:jc w:val="center"/>
              <w:rPr>
                <w:rFonts w:ascii="Times New Roman" w:hAnsi="Times New Roman" w:cs="Times New Roman"/>
                <w:sz w:val="20"/>
                <w:szCs w:val="20"/>
              </w:rPr>
            </w:pPr>
            <w:r>
              <w:rPr>
                <w:rFonts w:cs="Times New Roman" w:ascii="Times New Roman" w:hAnsi="Times New Roman"/>
                <w:sz w:val="20"/>
                <w:szCs w:val="20"/>
              </w:rPr>
              <w:t>руб. /месяц</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69"/>
              <w:jc w:val="right"/>
              <w:rPr>
                <w:rFonts w:ascii="Times New Roman" w:hAnsi="Times New Roman" w:cs="Times New Roman"/>
                <w:spacing w:val="-2"/>
                <w:sz w:val="20"/>
                <w:szCs w:val="20"/>
              </w:rPr>
            </w:pPr>
            <w:r>
              <w:rPr>
                <w:rFonts w:cs="Times New Roman" w:ascii="Times New Roman" w:hAnsi="Times New Roman"/>
                <w:spacing w:val="-2"/>
                <w:sz w:val="20"/>
                <w:szCs w:val="20"/>
              </w:rPr>
              <w:t>256,77</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96"/>
              <w:rPr>
                <w:rFonts w:ascii="Times New Roman" w:hAnsi="Times New Roman" w:cs="Times New Roman"/>
                <w:spacing w:val="-2"/>
                <w:sz w:val="20"/>
                <w:szCs w:val="20"/>
              </w:rPr>
            </w:pPr>
            <w:r>
              <w:rPr>
                <w:rFonts w:cs="Times New Roman" w:ascii="Times New Roman" w:hAnsi="Times New Roman"/>
                <w:spacing w:val="-2"/>
                <w:sz w:val="20"/>
                <w:szCs w:val="20"/>
              </w:rPr>
              <w:t>267,0</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59"/>
              <w:jc w:val="right"/>
              <w:rPr>
                <w:rFonts w:ascii="Times New Roman" w:hAnsi="Times New Roman" w:cs="Times New Roman"/>
                <w:spacing w:val="-2"/>
                <w:sz w:val="20"/>
                <w:szCs w:val="20"/>
              </w:rPr>
            </w:pPr>
            <w:r>
              <w:rPr>
                <w:rFonts w:cs="Times New Roman" w:ascii="Times New Roman" w:hAnsi="Times New Roman"/>
                <w:spacing w:val="-2"/>
                <w:sz w:val="20"/>
                <w:szCs w:val="20"/>
              </w:rPr>
              <w:t>277,7</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3"/>
              <w:jc w:val="center"/>
              <w:rPr>
                <w:rFonts w:ascii="Times New Roman" w:hAnsi="Times New Roman" w:cs="Times New Roman"/>
                <w:spacing w:val="-2"/>
                <w:sz w:val="20"/>
                <w:szCs w:val="20"/>
              </w:rPr>
            </w:pPr>
            <w:r>
              <w:rPr>
                <w:rFonts w:cs="Times New Roman" w:ascii="Times New Roman" w:hAnsi="Times New Roman"/>
                <w:spacing w:val="-2"/>
                <w:sz w:val="20"/>
                <w:szCs w:val="20"/>
              </w:rPr>
              <w:t>288,8</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5"/>
              <w:rPr>
                <w:rFonts w:ascii="Times New Roman" w:hAnsi="Times New Roman" w:cs="Times New Roman"/>
                <w:spacing w:val="-2"/>
                <w:sz w:val="20"/>
                <w:szCs w:val="20"/>
              </w:rPr>
            </w:pPr>
            <w:r>
              <w:rPr>
                <w:rFonts w:cs="Times New Roman" w:ascii="Times New Roman" w:hAnsi="Times New Roman"/>
                <w:spacing w:val="-2"/>
                <w:sz w:val="20"/>
                <w:szCs w:val="20"/>
              </w:rPr>
              <w:t>300,4</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1"/>
              <w:rPr>
                <w:rFonts w:ascii="Times New Roman" w:hAnsi="Times New Roman" w:cs="Times New Roman"/>
                <w:spacing w:val="-2"/>
                <w:sz w:val="20"/>
                <w:szCs w:val="20"/>
              </w:rPr>
            </w:pPr>
            <w:r>
              <w:rPr>
                <w:rFonts w:cs="Times New Roman" w:ascii="Times New Roman" w:hAnsi="Times New Roman"/>
                <w:spacing w:val="-2"/>
                <w:sz w:val="20"/>
                <w:szCs w:val="20"/>
              </w:rPr>
              <w:t>345,4</w:t>
            </w:r>
          </w:p>
        </w:tc>
      </w:tr>
      <w:tr>
        <w:trPr>
          <w:trHeight w:val="275"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Pr>
                <w:rFonts w:ascii="Times New Roman" w:hAnsi="Times New Roman" w:cs="Times New Roman"/>
                <w:sz w:val="20"/>
                <w:szCs w:val="20"/>
              </w:rPr>
            </w:pPr>
            <w:r>
              <w:rPr>
                <w:rFonts w:cs="Times New Roman" w:ascii="Times New Roman" w:hAnsi="Times New Roman"/>
                <w:sz w:val="20"/>
                <w:szCs w:val="20"/>
              </w:rPr>
              <w:t>Затраты1 человека на газоснабжение</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7" w:right="180"/>
              <w:jc w:val="center"/>
              <w:rPr>
                <w:rFonts w:ascii="Times New Roman" w:hAnsi="Times New Roman" w:cs="Times New Roman"/>
                <w:spacing w:val="-2"/>
                <w:sz w:val="20"/>
                <w:szCs w:val="20"/>
              </w:rPr>
            </w:pPr>
            <w:r>
              <w:rPr>
                <w:rFonts w:cs="Times New Roman" w:ascii="Times New Roman" w:hAnsi="Times New Roman"/>
                <w:spacing w:val="-2"/>
                <w:sz w:val="20"/>
                <w:szCs w:val="20"/>
              </w:rPr>
              <w:t>руб./месяц</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29"/>
              <w:jc w:val="right"/>
              <w:rPr>
                <w:rFonts w:ascii="Times New Roman" w:hAnsi="Times New Roman" w:cs="Times New Roman"/>
                <w:spacing w:val="-2"/>
                <w:sz w:val="20"/>
                <w:szCs w:val="20"/>
              </w:rPr>
            </w:pPr>
            <w:r>
              <w:rPr>
                <w:rFonts w:cs="Times New Roman" w:ascii="Times New Roman" w:hAnsi="Times New Roman"/>
                <w:spacing w:val="-2"/>
                <w:sz w:val="20"/>
                <w:szCs w:val="20"/>
              </w:rPr>
              <w:t>439,9</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6"/>
              <w:rPr>
                <w:rFonts w:ascii="Times New Roman" w:hAnsi="Times New Roman" w:cs="Times New Roman"/>
                <w:spacing w:val="-2"/>
                <w:sz w:val="20"/>
                <w:szCs w:val="20"/>
              </w:rPr>
            </w:pPr>
            <w:r>
              <w:rPr>
                <w:rFonts w:cs="Times New Roman" w:ascii="Times New Roman" w:hAnsi="Times New Roman"/>
                <w:spacing w:val="-2"/>
                <w:sz w:val="20"/>
                <w:szCs w:val="20"/>
              </w:rPr>
              <w:t>459,74</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359"/>
              <w:jc w:val="right"/>
              <w:rPr>
                <w:rFonts w:ascii="Times New Roman" w:hAnsi="Times New Roman" w:cs="Times New Roman"/>
                <w:spacing w:val="-2"/>
                <w:sz w:val="20"/>
                <w:szCs w:val="20"/>
              </w:rPr>
            </w:pPr>
            <w:r>
              <w:rPr>
                <w:rFonts w:cs="Times New Roman" w:ascii="Times New Roman" w:hAnsi="Times New Roman"/>
                <w:spacing w:val="-2"/>
                <w:sz w:val="20"/>
                <w:szCs w:val="20"/>
              </w:rPr>
              <w:t>479,1</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3"/>
              <w:jc w:val="center"/>
              <w:rPr>
                <w:rFonts w:ascii="Times New Roman" w:hAnsi="Times New Roman" w:cs="Times New Roman"/>
                <w:spacing w:val="-2"/>
                <w:sz w:val="20"/>
                <w:szCs w:val="20"/>
              </w:rPr>
            </w:pPr>
            <w:r>
              <w:rPr>
                <w:rFonts w:cs="Times New Roman" w:ascii="Times New Roman" w:hAnsi="Times New Roman"/>
                <w:spacing w:val="-2"/>
                <w:sz w:val="20"/>
                <w:szCs w:val="20"/>
              </w:rPr>
              <w:t>630,4</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5"/>
              <w:rPr>
                <w:rFonts w:ascii="Times New Roman" w:hAnsi="Times New Roman" w:cs="Times New Roman"/>
                <w:spacing w:val="-2"/>
                <w:sz w:val="20"/>
                <w:szCs w:val="20"/>
              </w:rPr>
            </w:pPr>
            <w:r>
              <w:rPr>
                <w:rFonts w:cs="Times New Roman" w:ascii="Times New Roman" w:hAnsi="Times New Roman"/>
                <w:spacing w:val="-2"/>
                <w:sz w:val="20"/>
                <w:szCs w:val="20"/>
              </w:rPr>
              <w:t>655,6</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1"/>
              <w:rPr>
                <w:rFonts w:ascii="Times New Roman" w:hAnsi="Times New Roman" w:cs="Times New Roman"/>
                <w:spacing w:val="-2"/>
                <w:sz w:val="20"/>
                <w:szCs w:val="20"/>
              </w:rPr>
            </w:pPr>
            <w:r>
              <w:rPr>
                <w:rFonts w:cs="Times New Roman" w:ascii="Times New Roman" w:hAnsi="Times New Roman"/>
                <w:spacing w:val="-2"/>
                <w:sz w:val="20"/>
                <w:szCs w:val="20"/>
              </w:rPr>
              <w:t>753,9</w:t>
            </w:r>
          </w:p>
        </w:tc>
      </w:tr>
      <w:tr>
        <w:trPr>
          <w:trHeight w:val="278" w:hRule="atLeast"/>
        </w:trPr>
        <w:tc>
          <w:tcPr>
            <w:tcW w:w="44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07" w:right="177"/>
              <w:rPr>
                <w:rFonts w:ascii="Times New Roman" w:hAnsi="Times New Roman" w:cs="Times New Roman"/>
                <w:spacing w:val="-4"/>
                <w:sz w:val="20"/>
                <w:szCs w:val="20"/>
              </w:rPr>
            </w:pPr>
            <w:r>
              <w:rPr>
                <w:rFonts w:cs="Times New Roman" w:ascii="Times New Roman" w:hAnsi="Times New Roman"/>
                <w:sz w:val="20"/>
                <w:szCs w:val="20"/>
              </w:rPr>
              <w:t xml:space="preserve">Затраты1человеканасборивывоз </w:t>
            </w:r>
            <w:r>
              <w:rPr>
                <w:rFonts w:cs="Times New Roman" w:ascii="Times New Roman" w:hAnsi="Times New Roman"/>
                <w:spacing w:val="-4"/>
                <w:sz w:val="20"/>
                <w:szCs w:val="20"/>
              </w:rPr>
              <w:t>ТКО</w:t>
            </w:r>
          </w:p>
        </w:tc>
        <w:tc>
          <w:tcPr>
            <w:tcW w:w="1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7" w:right="180"/>
              <w:jc w:val="center"/>
              <w:rPr>
                <w:rFonts w:ascii="Times New Roman" w:hAnsi="Times New Roman" w:cs="Times New Roman"/>
                <w:spacing w:val="-2"/>
                <w:sz w:val="20"/>
                <w:szCs w:val="20"/>
              </w:rPr>
            </w:pPr>
            <w:r>
              <w:rPr>
                <w:rFonts w:cs="Times New Roman" w:ascii="Times New Roman" w:hAnsi="Times New Roman"/>
                <w:spacing w:val="-2"/>
                <w:sz w:val="20"/>
                <w:szCs w:val="20"/>
              </w:rPr>
              <w:t>руб./месяц</w:t>
            </w:r>
          </w:p>
        </w:tc>
        <w:tc>
          <w:tcPr>
            <w:tcW w:w="139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429"/>
              <w:jc w:val="right"/>
              <w:rPr>
                <w:rFonts w:ascii="Times New Roman" w:hAnsi="Times New Roman" w:cs="Times New Roman"/>
                <w:spacing w:val="-2"/>
                <w:sz w:val="20"/>
                <w:szCs w:val="20"/>
              </w:rPr>
            </w:pPr>
            <w:r>
              <w:rPr>
                <w:rFonts w:cs="Times New Roman" w:ascii="Times New Roman" w:hAnsi="Times New Roman"/>
                <w:spacing w:val="-2"/>
                <w:sz w:val="20"/>
                <w:szCs w:val="20"/>
              </w:rPr>
              <w:t>139,9</w:t>
            </w:r>
          </w:p>
        </w:tc>
        <w:tc>
          <w:tcPr>
            <w:tcW w:w="14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36"/>
              <w:rPr>
                <w:rFonts w:ascii="Times New Roman" w:hAnsi="Times New Roman" w:cs="Times New Roman"/>
                <w:spacing w:val="-2"/>
                <w:sz w:val="20"/>
                <w:szCs w:val="20"/>
              </w:rPr>
            </w:pPr>
            <w:r>
              <w:rPr>
                <w:rFonts w:cs="Times New Roman" w:ascii="Times New Roman" w:hAnsi="Times New Roman"/>
                <w:spacing w:val="-2"/>
                <w:sz w:val="20"/>
                <w:szCs w:val="20"/>
              </w:rPr>
              <w:t>148,31</w:t>
            </w:r>
          </w:p>
        </w:tc>
        <w:tc>
          <w:tcPr>
            <w:tcW w:w="12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299"/>
              <w:jc w:val="right"/>
              <w:rPr>
                <w:rFonts w:ascii="Times New Roman" w:hAnsi="Times New Roman" w:cs="Times New Roman"/>
                <w:spacing w:val="-2"/>
                <w:sz w:val="20"/>
                <w:szCs w:val="20"/>
              </w:rPr>
            </w:pPr>
            <w:r>
              <w:rPr>
                <w:rFonts w:cs="Times New Roman" w:ascii="Times New Roman" w:hAnsi="Times New Roman"/>
                <w:spacing w:val="-2"/>
                <w:sz w:val="20"/>
                <w:szCs w:val="20"/>
              </w:rPr>
              <w:t>157,21</w:t>
            </w:r>
          </w:p>
        </w:tc>
        <w:tc>
          <w:tcPr>
            <w:tcW w:w="1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59" w:right="493"/>
              <w:jc w:val="center"/>
              <w:rPr>
                <w:rFonts w:ascii="Times New Roman" w:hAnsi="Times New Roman" w:cs="Times New Roman"/>
                <w:spacing w:val="-2"/>
                <w:sz w:val="20"/>
                <w:szCs w:val="20"/>
              </w:rPr>
            </w:pPr>
            <w:r>
              <w:rPr>
                <w:rFonts w:cs="Times New Roman" w:ascii="Times New Roman" w:hAnsi="Times New Roman"/>
                <w:spacing w:val="-2"/>
                <w:sz w:val="20"/>
                <w:szCs w:val="20"/>
              </w:rPr>
              <w:t>166,64</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5"/>
              <w:rPr>
                <w:rFonts w:ascii="Times New Roman" w:hAnsi="Times New Roman" w:cs="Times New Roman"/>
                <w:spacing w:val="-2"/>
                <w:sz w:val="20"/>
                <w:szCs w:val="20"/>
              </w:rPr>
            </w:pPr>
            <w:r>
              <w:rPr>
                <w:rFonts w:cs="Times New Roman" w:ascii="Times New Roman" w:hAnsi="Times New Roman"/>
                <w:spacing w:val="-2"/>
                <w:sz w:val="20"/>
                <w:szCs w:val="20"/>
              </w:rPr>
              <w:t>173,3</w:t>
            </w:r>
          </w:p>
        </w:tc>
        <w:tc>
          <w:tcPr>
            <w:tcW w:w="21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1"/>
              <w:rPr>
                <w:rFonts w:ascii="Times New Roman" w:hAnsi="Times New Roman" w:cs="Times New Roman"/>
                <w:spacing w:val="-2"/>
                <w:sz w:val="20"/>
                <w:szCs w:val="20"/>
              </w:rPr>
            </w:pPr>
            <w:r>
              <w:rPr>
                <w:rFonts w:cs="Times New Roman" w:ascii="Times New Roman" w:hAnsi="Times New Roman"/>
                <w:spacing w:val="-2"/>
                <w:sz w:val="20"/>
                <w:szCs w:val="20"/>
              </w:rPr>
              <w:t>199,3</w:t>
            </w:r>
          </w:p>
        </w:tc>
      </w:tr>
    </w:tbl>
    <w:p>
      <w:pPr>
        <w:pStyle w:val="Normal"/>
        <w:spacing w:lineRule="auto" w:line="240" w:before="0" w:after="0"/>
        <w:ind w:firstLine="851" w:right="113"/>
        <w:jc w:val="both"/>
        <w:rPr>
          <w:rFonts w:ascii="Times New Roman" w:hAnsi="Times New Roman" w:cs="Times New Roman"/>
          <w:sz w:val="24"/>
          <w:szCs w:val="28"/>
        </w:rPr>
      </w:pPr>
      <w:r>
        <w:rPr>
          <w:rFonts w:cs="Times New Roman" w:ascii="Times New Roman" w:hAnsi="Times New Roman"/>
          <w:sz w:val="24"/>
          <w:szCs w:val="28"/>
        </w:rPr>
        <w:t>Перспектива роста тарифа обосновывается прогнозом индексов-дефляторов до 2041г.в %,(утверждённая Приказом министерства регионального развития РФ от 23 августа 2010 г. № 378 «Об утверждении методических указаний по расчёту предельных индексов изменения размера платы граждан за коммунальные услуги»).</w:t>
      </w:r>
    </w:p>
    <w:p>
      <w:pPr>
        <w:sectPr>
          <w:footerReference w:type="even" r:id="rId30"/>
          <w:footerReference w:type="default" r:id="rId31"/>
          <w:footerReference w:type="first" r:id="rId32"/>
          <w:type w:val="nextPage"/>
          <w:pgSz w:orient="landscape" w:w="16838" w:h="11906"/>
          <w:pgMar w:left="993" w:right="1134" w:gutter="0" w:header="0" w:top="709" w:footer="708" w:bottom="991"/>
          <w:pgNumType w:fmt="decimal"/>
          <w:formProt w:val="false"/>
          <w:textDirection w:val="lrTb"/>
          <w:docGrid w:type="default" w:linePitch="360" w:charSpace="24576"/>
        </w:sectPr>
        <w:pStyle w:val="Normal"/>
        <w:spacing w:lineRule="auto" w:line="240" w:before="0" w:after="0"/>
        <w:ind w:firstLine="851" w:right="113"/>
        <w:rPr>
          <w:rFonts w:ascii="Times New Roman" w:hAnsi="Times New Roman" w:cs="Times New Roman"/>
          <w:sz w:val="24"/>
          <w:szCs w:val="28"/>
        </w:rPr>
      </w:pPr>
      <w:r>
        <w:rPr>
          <w:rFonts w:cs="Times New Roman" w:ascii="Times New Roman" w:hAnsi="Times New Roman"/>
          <w:sz w:val="24"/>
          <w:szCs w:val="28"/>
        </w:rPr>
      </w:r>
    </w:p>
    <w:p>
      <w:pPr>
        <w:pStyle w:val="13"/>
        <w:rPr/>
      </w:pPr>
      <w:bookmarkStart w:id="63" w:name="_Toc224805177"/>
      <w:r>
        <w:rPr/>
        <w:t>10. ПРОГНОЗИРУЕМЫЕ РАСХОДЫ БЮДЖЕТОВ ВСЕХ УРОВНЕЙ НА ОКАЗАНИЕ МЕР СОЦИАЛЬНОЙ ПОДДЕРЖКИ, В ТОМ ЧИСЛЕ ПРЕДОСТАВЛЕНИЕ ОТДЕЛЬНЫМ КАТЕГОРИЯМ ГРАЖДАН СУБСИДИИ НА ОПЛАТУ ЖИЛОГО ПОМЕЩЕНИЯ И КОММУНАЛЬНЫХ УСЛУГ</w:t>
      </w:r>
      <w:bookmarkEnd w:id="63"/>
    </w:p>
    <w:p>
      <w:pPr>
        <w:pStyle w:val="Normal"/>
        <w:spacing w:lineRule="auto" w:line="240" w:before="0" w:after="0"/>
        <w:ind w:firstLine="567"/>
        <w:jc w:val="both"/>
        <w:rPr>
          <w:sz w:val="24"/>
          <w:szCs w:val="24"/>
        </w:rPr>
      </w:pPr>
      <w:r>
        <w:rPr>
          <w:rFonts w:cs="Times New Roman" w:ascii="Times New Roman" w:hAnsi="Times New Roman"/>
          <w:sz w:val="24"/>
          <w:szCs w:val="24"/>
        </w:rPr>
        <w:t>Размер ежемесячной денежной компенсации (далее – ЕДК) для различных категорий граждан могут составлять от 50 до 100% затрата оплату коммунальных услуг. Средний платеж за коммунальные услуги на 1 семью в Туркменском муниципальном округе равен 5504 рублей, выплата ЕДК может составлять от 2752 до 5504 рублей.</w:t>
      </w:r>
    </w:p>
    <w:p>
      <w:pPr>
        <w:pStyle w:val="Normal"/>
        <w:spacing w:lineRule="auto" w:line="240" w:before="0" w:after="0"/>
        <w:ind w:firstLine="567" w:right="99"/>
        <w:jc w:val="both"/>
        <w:rPr>
          <w:sz w:val="24"/>
          <w:szCs w:val="24"/>
        </w:rPr>
      </w:pPr>
      <w:r>
        <w:rPr>
          <w:rFonts w:cs="Times New Roman" w:ascii="Times New Roman" w:hAnsi="Times New Roman"/>
          <w:sz w:val="24"/>
          <w:szCs w:val="24"/>
        </w:rPr>
        <w:t>Основные параметры ЕДК.</w:t>
      </w:r>
    </w:p>
    <w:p>
      <w:pPr>
        <w:pStyle w:val="Normal"/>
        <w:spacing w:lineRule="auto" w:line="240" w:before="0" w:after="0"/>
        <w:ind w:firstLine="567" w:right="99"/>
        <w:jc w:val="both"/>
        <w:rPr>
          <w:sz w:val="24"/>
          <w:szCs w:val="24"/>
        </w:rPr>
      </w:pPr>
      <w:r>
        <w:rPr>
          <w:rFonts w:cs="Times New Roman" w:ascii="Times New Roman" w:hAnsi="Times New Roman"/>
          <w:sz w:val="24"/>
          <w:szCs w:val="24"/>
        </w:rPr>
        <w:t>Размер ежемесячной денежной компенсации (ЕДК) для различных категорий граждан может составлять от 50 до 100 % затрат на оплату коммунальных услуг. Конкретный размер выплаты определяется индивидуально с учётом:</w:t>
      </w:r>
    </w:p>
    <w:p>
      <w:pPr>
        <w:pStyle w:val="Normal"/>
        <w:spacing w:lineRule="auto" w:line="240" w:before="0" w:after="0"/>
        <w:ind w:firstLine="567" w:right="99"/>
        <w:jc w:val="both"/>
        <w:rPr>
          <w:sz w:val="24"/>
          <w:szCs w:val="24"/>
        </w:rPr>
      </w:pPr>
      <w:r>
        <w:rPr>
          <w:rFonts w:cs="Times New Roman" w:ascii="Times New Roman" w:hAnsi="Times New Roman"/>
          <w:sz w:val="24"/>
          <w:szCs w:val="24"/>
        </w:rPr>
        <w:t>- категории льготника;</w:t>
      </w:r>
    </w:p>
    <w:p>
      <w:pPr>
        <w:pStyle w:val="Normal"/>
        <w:spacing w:lineRule="auto" w:line="240" w:before="0" w:after="0"/>
        <w:ind w:firstLine="567" w:right="99"/>
        <w:jc w:val="both"/>
        <w:rPr>
          <w:sz w:val="24"/>
          <w:szCs w:val="24"/>
        </w:rPr>
      </w:pPr>
      <w:r>
        <w:rPr>
          <w:rFonts w:cs="Times New Roman" w:ascii="Times New Roman" w:hAnsi="Times New Roman"/>
          <w:sz w:val="24"/>
          <w:szCs w:val="24"/>
        </w:rPr>
        <w:t>- совокупного дохода семьи;</w:t>
      </w:r>
    </w:p>
    <w:p>
      <w:pPr>
        <w:pStyle w:val="Normal"/>
        <w:spacing w:lineRule="auto" w:line="240" w:before="0" w:after="0"/>
        <w:ind w:firstLine="567" w:right="99"/>
        <w:jc w:val="both"/>
        <w:rPr>
          <w:sz w:val="24"/>
          <w:szCs w:val="24"/>
        </w:rPr>
      </w:pPr>
      <w:r>
        <w:rPr>
          <w:rFonts w:cs="Times New Roman" w:ascii="Times New Roman" w:hAnsi="Times New Roman"/>
          <w:sz w:val="24"/>
          <w:szCs w:val="24"/>
        </w:rPr>
        <w:t>- фактического объёма потребления коммунальных ресурсов;</w:t>
      </w:r>
    </w:p>
    <w:p>
      <w:pPr>
        <w:pStyle w:val="Normal"/>
        <w:spacing w:lineRule="auto" w:line="240" w:before="0" w:after="0"/>
        <w:ind w:firstLine="567" w:right="99"/>
        <w:jc w:val="both"/>
        <w:rPr>
          <w:sz w:val="24"/>
          <w:szCs w:val="24"/>
        </w:rPr>
      </w:pPr>
      <w:r>
        <w:rPr>
          <w:rFonts w:cs="Times New Roman" w:ascii="Times New Roman" w:hAnsi="Times New Roman"/>
          <w:sz w:val="24"/>
          <w:szCs w:val="24"/>
        </w:rPr>
        <w:t>- действующих нормативов и тарифов.</w:t>
      </w:r>
    </w:p>
    <w:p>
      <w:pPr>
        <w:pStyle w:val="Normal"/>
        <w:spacing w:lineRule="auto" w:line="240" w:before="0" w:after="0"/>
        <w:ind w:firstLine="567" w:right="99"/>
        <w:jc w:val="both"/>
        <w:rPr>
          <w:sz w:val="24"/>
          <w:szCs w:val="24"/>
        </w:rPr>
      </w:pPr>
      <w:r>
        <w:rPr>
          <w:rFonts w:cs="Times New Roman" w:ascii="Times New Roman" w:hAnsi="Times New Roman"/>
          <w:sz w:val="24"/>
          <w:szCs w:val="24"/>
        </w:rPr>
        <w:t>Анализ практики предоставления субсидий в 2024 году.</w:t>
      </w:r>
    </w:p>
    <w:p>
      <w:pPr>
        <w:pStyle w:val="Normal"/>
        <w:spacing w:lineRule="auto" w:line="240" w:before="0" w:after="0"/>
        <w:ind w:firstLine="567" w:right="99"/>
        <w:jc w:val="both"/>
        <w:rPr>
          <w:sz w:val="24"/>
          <w:szCs w:val="24"/>
        </w:rPr>
      </w:pPr>
      <w:r>
        <w:rPr>
          <w:rFonts w:cs="Times New Roman" w:ascii="Times New Roman" w:hAnsi="Times New Roman"/>
          <w:sz w:val="24"/>
          <w:szCs w:val="24"/>
        </w:rPr>
        <w:t>По данным за первое полугодие 2024 года, меры социальной поддержки в форме субсидий на оплату ЖКУ получили 402 семьи Туркменского муниципального округа.</w:t>
      </w:r>
    </w:p>
    <w:p>
      <w:pPr>
        <w:pStyle w:val="Normal"/>
        <w:spacing w:lineRule="auto" w:line="240" w:before="0" w:after="0"/>
        <w:ind w:firstLine="567" w:right="99"/>
        <w:jc w:val="both"/>
        <w:rPr>
          <w:sz w:val="24"/>
          <w:szCs w:val="24"/>
        </w:rPr>
      </w:pPr>
      <w:r>
        <w:rPr>
          <w:rFonts w:cs="Times New Roman" w:ascii="Times New Roman" w:hAnsi="Times New Roman"/>
          <w:sz w:val="24"/>
          <w:szCs w:val="24"/>
        </w:rPr>
        <w:t>Ключевые показатели реализации программы</w:t>
      </w:r>
      <w:r>
        <w:rPr>
          <w:rFonts w:cs="Times New Roman" w:ascii="Times New Roman" w:hAnsi="Times New Roman"/>
          <w:sz w:val="24"/>
          <w:szCs w:val="24"/>
          <w:u w:val="single"/>
        </w:rPr>
        <w:t>:</w:t>
      </w:r>
    </w:p>
    <w:p>
      <w:pPr>
        <w:pStyle w:val="Normal"/>
        <w:spacing w:lineRule="auto" w:line="240" w:before="0" w:after="0"/>
        <w:ind w:firstLine="567" w:right="99"/>
        <w:jc w:val="both"/>
        <w:rPr>
          <w:sz w:val="24"/>
          <w:szCs w:val="24"/>
        </w:rPr>
      </w:pPr>
      <w:r>
        <w:rPr>
          <w:rFonts w:cs="Times New Roman" w:ascii="Times New Roman" w:hAnsi="Times New Roman"/>
          <w:sz w:val="24"/>
          <w:szCs w:val="24"/>
        </w:rPr>
        <w:t>общая сумма выплат — более 9,4 млн. рублей;</w:t>
      </w:r>
    </w:p>
    <w:p>
      <w:pPr>
        <w:pStyle w:val="Normal"/>
        <w:spacing w:lineRule="auto" w:line="240" w:before="0" w:after="0"/>
        <w:ind w:firstLine="567" w:right="99"/>
        <w:jc w:val="both"/>
        <w:rPr>
          <w:sz w:val="24"/>
          <w:szCs w:val="24"/>
        </w:rPr>
      </w:pPr>
      <w:r>
        <w:rPr>
          <w:rFonts w:cs="Times New Roman" w:ascii="Times New Roman" w:hAnsi="Times New Roman"/>
          <w:sz w:val="24"/>
          <w:szCs w:val="24"/>
        </w:rPr>
        <w:t>средний размер субсидии — 3 529,82 рублей на семью в месяц;</w:t>
      </w:r>
    </w:p>
    <w:p>
      <w:pPr>
        <w:pStyle w:val="Normal"/>
        <w:spacing w:lineRule="auto" w:line="240" w:before="0" w:after="0"/>
        <w:ind w:firstLine="567" w:right="99"/>
        <w:jc w:val="both"/>
        <w:rPr>
          <w:sz w:val="24"/>
          <w:szCs w:val="24"/>
        </w:rPr>
      </w:pPr>
      <w:r>
        <w:rPr>
          <w:rFonts w:cs="Times New Roman" w:ascii="Times New Roman" w:hAnsi="Times New Roman"/>
          <w:sz w:val="24"/>
          <w:szCs w:val="24"/>
        </w:rPr>
        <w:t>источник финансирования — краевой бюджет;</w:t>
      </w:r>
    </w:p>
    <w:p>
      <w:pPr>
        <w:pStyle w:val="Normal"/>
        <w:spacing w:lineRule="auto" w:line="240" w:before="0" w:after="0"/>
        <w:ind w:firstLine="567" w:right="99"/>
        <w:jc w:val="both"/>
        <w:rPr>
          <w:sz w:val="24"/>
          <w:szCs w:val="24"/>
        </w:rPr>
      </w:pPr>
      <w:r>
        <w:rPr>
          <w:rFonts w:cs="Times New Roman" w:ascii="Times New Roman" w:hAnsi="Times New Roman"/>
          <w:sz w:val="24"/>
          <w:szCs w:val="24"/>
        </w:rPr>
        <w:t>период охвата — январь–июнь 2024 года.</w:t>
      </w:r>
    </w:p>
    <w:p>
      <w:pPr>
        <w:pStyle w:val="Normal"/>
        <w:spacing w:lineRule="auto" w:line="240" w:before="0" w:after="0"/>
        <w:ind w:firstLine="567" w:right="99"/>
        <w:jc w:val="both"/>
        <w:rPr>
          <w:sz w:val="24"/>
          <w:szCs w:val="24"/>
        </w:rPr>
      </w:pPr>
      <w:r>
        <w:rPr>
          <w:rFonts w:cs="Times New Roman" w:ascii="Times New Roman" w:hAnsi="Times New Roman"/>
          <w:sz w:val="24"/>
          <w:szCs w:val="24"/>
        </w:rPr>
        <w:t>Детализация по категориям получателей.</w:t>
      </w:r>
    </w:p>
    <w:p>
      <w:pPr>
        <w:pStyle w:val="Normal"/>
        <w:spacing w:lineRule="auto" w:line="240" w:before="0" w:after="0"/>
        <w:ind w:firstLine="567" w:right="99"/>
        <w:jc w:val="both"/>
        <w:rPr>
          <w:sz w:val="24"/>
          <w:szCs w:val="24"/>
        </w:rPr>
      </w:pPr>
      <w:r>
        <w:rPr>
          <w:rFonts w:cs="Times New Roman" w:ascii="Times New Roman" w:hAnsi="Times New Roman"/>
          <w:sz w:val="24"/>
          <w:szCs w:val="24"/>
        </w:rPr>
        <w:t>Право на получение ЕДК имеют следующие категории граждан:</w:t>
      </w:r>
    </w:p>
    <w:p>
      <w:pPr>
        <w:pStyle w:val="Normal"/>
        <w:spacing w:lineRule="auto" w:line="240" w:before="0" w:after="0"/>
        <w:ind w:firstLine="567" w:right="99"/>
        <w:jc w:val="both"/>
        <w:rPr>
          <w:sz w:val="24"/>
          <w:szCs w:val="24"/>
        </w:rPr>
      </w:pPr>
      <w:r>
        <w:rPr>
          <w:rFonts w:cs="Times New Roman" w:ascii="Times New Roman" w:hAnsi="Times New Roman"/>
          <w:sz w:val="24"/>
          <w:szCs w:val="24"/>
        </w:rPr>
        <w:t>- ветераны труда;</w:t>
      </w:r>
    </w:p>
    <w:p>
      <w:pPr>
        <w:pStyle w:val="Normal"/>
        <w:spacing w:lineRule="auto" w:line="240" w:before="0" w:after="0"/>
        <w:ind w:firstLine="567" w:right="99"/>
        <w:jc w:val="both"/>
        <w:rPr>
          <w:sz w:val="24"/>
          <w:szCs w:val="24"/>
        </w:rPr>
      </w:pPr>
      <w:r>
        <w:rPr>
          <w:rFonts w:cs="Times New Roman" w:ascii="Times New Roman" w:hAnsi="Times New Roman"/>
          <w:sz w:val="24"/>
          <w:szCs w:val="24"/>
        </w:rPr>
        <w:t>- инвалиды и семьи с детьми инвалидами;</w:t>
      </w:r>
    </w:p>
    <w:p>
      <w:pPr>
        <w:pStyle w:val="Normal"/>
        <w:spacing w:lineRule="auto" w:line="240" w:before="0" w:after="0"/>
        <w:ind w:firstLine="567" w:right="99"/>
        <w:jc w:val="both"/>
        <w:rPr>
          <w:sz w:val="24"/>
          <w:szCs w:val="24"/>
        </w:rPr>
      </w:pPr>
      <w:r>
        <w:rPr>
          <w:rFonts w:cs="Times New Roman" w:ascii="Times New Roman" w:hAnsi="Times New Roman"/>
          <w:sz w:val="24"/>
          <w:szCs w:val="24"/>
        </w:rPr>
        <w:t>- многодетные семьи;</w:t>
      </w:r>
    </w:p>
    <w:p>
      <w:pPr>
        <w:pStyle w:val="Normal"/>
        <w:spacing w:lineRule="auto" w:line="240" w:before="0" w:after="0"/>
        <w:ind w:firstLine="567" w:right="99"/>
        <w:jc w:val="both"/>
        <w:rPr>
          <w:sz w:val="24"/>
          <w:szCs w:val="24"/>
        </w:rPr>
      </w:pPr>
      <w:r>
        <w:rPr>
          <w:rFonts w:cs="Times New Roman" w:ascii="Times New Roman" w:hAnsi="Times New Roman"/>
          <w:sz w:val="24"/>
          <w:szCs w:val="24"/>
        </w:rPr>
        <w:t>- малоимущие семьи, у которых расходы на ЖКУ превышают предельно допустимую долю от совокупного дохода;</w:t>
      </w:r>
    </w:p>
    <w:p>
      <w:pPr>
        <w:pStyle w:val="Normal"/>
        <w:spacing w:lineRule="auto" w:line="240" w:before="0" w:after="0"/>
        <w:ind w:firstLine="567" w:right="99"/>
        <w:jc w:val="both"/>
        <w:rPr>
          <w:sz w:val="24"/>
          <w:szCs w:val="24"/>
        </w:rPr>
      </w:pPr>
      <w:r>
        <w:rPr>
          <w:rFonts w:cs="Times New Roman" w:ascii="Times New Roman" w:hAnsi="Times New Roman"/>
          <w:sz w:val="24"/>
          <w:szCs w:val="24"/>
        </w:rPr>
        <w:t>- пенсионеры, достигшие определённого возраста;</w:t>
      </w:r>
    </w:p>
    <w:p>
      <w:pPr>
        <w:pStyle w:val="Normal"/>
        <w:spacing w:lineRule="auto" w:line="240" w:before="0" w:after="0"/>
        <w:ind w:firstLine="567" w:right="99"/>
        <w:jc w:val="both"/>
        <w:rPr>
          <w:sz w:val="24"/>
          <w:szCs w:val="24"/>
        </w:rPr>
      </w:pPr>
      <w:r>
        <w:rPr>
          <w:rFonts w:cs="Times New Roman" w:ascii="Times New Roman" w:hAnsi="Times New Roman"/>
          <w:sz w:val="24"/>
          <w:szCs w:val="24"/>
        </w:rPr>
        <w:t>- другие льготные категории, установленные законодательством Ставропольского края.</w:t>
      </w:r>
    </w:p>
    <w:p>
      <w:pPr>
        <w:pStyle w:val="Normal"/>
        <w:spacing w:lineRule="auto" w:line="240" w:before="0" w:after="0"/>
        <w:ind w:firstLine="567" w:right="99"/>
        <w:jc w:val="both"/>
        <w:rPr>
          <w:sz w:val="24"/>
          <w:szCs w:val="24"/>
        </w:rPr>
      </w:pPr>
      <w:r>
        <w:rPr>
          <w:rFonts w:cs="Times New Roman" w:ascii="Times New Roman" w:hAnsi="Times New Roman"/>
          <w:sz w:val="24"/>
          <w:szCs w:val="24"/>
        </w:rPr>
        <w:t>Для каждой категории предусмотрены свои нормативы расчёта компенсации. Например - для ветеранов труда — обычно 50 %; для инвалидов I группы — до 100 %; для многодетных семей — дифференцированно, в зависимости от дохода на одного члена семьи.</w:t>
      </w:r>
    </w:p>
    <w:p>
      <w:pPr>
        <w:pStyle w:val="Normal"/>
        <w:spacing w:lineRule="auto" w:line="240" w:before="0" w:after="0"/>
        <w:ind w:firstLine="567" w:right="99"/>
        <w:jc w:val="both"/>
        <w:rPr/>
      </w:pPr>
      <w:r>
        <w:rPr>
          <w:rFonts w:cs="Times New Roman" w:ascii="Times New Roman" w:hAnsi="Times New Roman"/>
          <w:sz w:val="24"/>
          <w:szCs w:val="24"/>
        </w:rPr>
        <w:t>Механизм расчёта и назначения ЕДК.</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Расчёт размера компенсации производится по следующей формуле:</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ЕДК=Норматив потребления×Тариф×Процент компенсации.</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xml:space="preserve">Где: </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норматив потребления — утверждённый объём ресурса на человека (м³ воды, кВт·ч электроэнергии и т. д.);</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тариф — действующая стоимость единицы ресурса;</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процент компенсации — от 50 до 100 %, в зависимости от категории льготника.</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Процедура назначения ЕДК включает:</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подачу заявления в Управление труда и социальной защиты населения (УТСЗН) округа;</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предоставление документов, подтверждающих право на льготу;</w:t>
      </w:r>
    </w:p>
    <w:p>
      <w:pPr>
        <w:pStyle w:val="Normal"/>
        <w:spacing w:lineRule="auto" w:line="240" w:before="0" w:after="0"/>
        <w:ind w:firstLine="567" w:right="99"/>
        <w:jc w:val="both"/>
        <w:rPr>
          <w:rFonts w:ascii="Times New Roman" w:hAnsi="Times New Roman" w:cs="Times New Roman"/>
          <w:sz w:val="24"/>
          <w:szCs w:val="24"/>
        </w:rPr>
      </w:pPr>
      <w:r>
        <w:rPr>
          <w:rFonts w:cs="Times New Roman" w:ascii="Times New Roman" w:hAnsi="Times New Roman"/>
          <w:sz w:val="24"/>
          <w:szCs w:val="24"/>
        </w:rPr>
        <w:t>- проверку сведений о доходах и расходах на ЖКУ;</w:t>
      </w:r>
    </w:p>
    <w:p>
      <w:pPr>
        <w:pStyle w:val="Normal"/>
        <w:spacing w:lineRule="auto" w:line="240" w:before="0" w:after="0"/>
        <w:ind w:firstLine="528" w:left="39" w:right="99"/>
        <w:jc w:val="both"/>
        <w:rPr>
          <w:rFonts w:ascii="Times New Roman" w:hAnsi="Times New Roman" w:cs="Times New Roman"/>
          <w:sz w:val="24"/>
          <w:szCs w:val="24"/>
        </w:rPr>
      </w:pPr>
      <w:r>
        <w:rPr>
          <w:rFonts w:cs="Times New Roman" w:ascii="Times New Roman" w:hAnsi="Times New Roman"/>
          <w:sz w:val="24"/>
          <w:szCs w:val="24"/>
        </w:rPr>
        <w:t>- принятие решения в течение 10 рабочих дней;</w:t>
      </w:r>
    </w:p>
    <w:p>
      <w:pPr>
        <w:pStyle w:val="Normal"/>
        <w:spacing w:lineRule="auto" w:line="240" w:before="0" w:after="0"/>
        <w:ind w:firstLine="528" w:left="39" w:right="99"/>
        <w:jc w:val="both"/>
        <w:rPr>
          <w:rFonts w:ascii="Times New Roman" w:hAnsi="Times New Roman" w:cs="Times New Roman"/>
          <w:sz w:val="24"/>
          <w:szCs w:val="24"/>
        </w:rPr>
      </w:pPr>
      <w:r>
        <w:rPr>
          <w:rFonts w:cs="Times New Roman" w:ascii="Times New Roman" w:hAnsi="Times New Roman"/>
          <w:sz w:val="24"/>
          <w:szCs w:val="24"/>
        </w:rPr>
        <w:t>- ежемесячное перечисление средств на банковский счёт или через почту.</w:t>
      </w:r>
    </w:p>
    <w:p>
      <w:pPr>
        <w:pStyle w:val="Normal"/>
        <w:spacing w:lineRule="auto" w:line="240" w:before="0" w:after="0"/>
        <w:ind w:firstLine="528" w:left="39" w:right="99"/>
        <w:jc w:val="both"/>
        <w:rPr>
          <w:rFonts w:ascii="Times New Roman" w:hAnsi="Times New Roman" w:cs="Times New Roman"/>
          <w:bCs/>
          <w:sz w:val="24"/>
          <w:szCs w:val="24"/>
        </w:rPr>
      </w:pPr>
      <w:r>
        <w:rPr>
          <w:rFonts w:cs="Times New Roman" w:ascii="Times New Roman" w:hAnsi="Times New Roman"/>
          <w:bCs/>
          <w:sz w:val="24"/>
          <w:szCs w:val="24"/>
        </w:rPr>
        <w:t>Динамика и перспективы</w:t>
      </w:r>
    </w:p>
    <w:p>
      <w:pPr>
        <w:pStyle w:val="Normal"/>
        <w:spacing w:lineRule="auto" w:line="240" w:before="0" w:after="0"/>
        <w:ind w:firstLine="528" w:left="39" w:right="99"/>
        <w:jc w:val="both"/>
        <w:rPr>
          <w:rFonts w:ascii="Times New Roman" w:hAnsi="Times New Roman" w:cs="Times New Roman"/>
          <w:sz w:val="24"/>
          <w:szCs w:val="24"/>
        </w:rPr>
      </w:pPr>
      <w:r>
        <w:rPr>
          <w:rFonts w:cs="Times New Roman" w:ascii="Times New Roman" w:hAnsi="Times New Roman"/>
          <w:sz w:val="24"/>
          <w:szCs w:val="24"/>
        </w:rPr>
        <w:t>Сравнение с аналогичными периодами прошлых лет показывает положительную динамику:</w:t>
      </w:r>
    </w:p>
    <w:p>
      <w:pPr>
        <w:pStyle w:val="Normal"/>
        <w:spacing w:lineRule="auto" w:line="240" w:before="0" w:after="0"/>
        <w:ind w:firstLine="707" w:left="39" w:right="99"/>
        <w:jc w:val="right"/>
        <w:rPr>
          <w:rFonts w:ascii="Times New Roman" w:hAnsi="Times New Roman" w:cs="Times New Roman"/>
          <w:sz w:val="24"/>
          <w:szCs w:val="24"/>
        </w:rPr>
      </w:pPr>
      <w:r>
        <w:rPr>
          <w:rFonts w:cs="Times New Roman" w:ascii="Times New Roman" w:hAnsi="Times New Roman"/>
          <w:sz w:val="24"/>
          <w:szCs w:val="24"/>
        </w:rPr>
        <w:t>Таблица 38.</w:t>
      </w:r>
    </w:p>
    <w:tbl>
      <w:tblPr>
        <w:tblW w:w="9498" w:type="dxa"/>
        <w:jc w:val="left"/>
        <w:tblInd w:w="447" w:type="dxa"/>
        <w:tblLayout w:type="fixed"/>
        <w:tblCellMar>
          <w:top w:w="0" w:type="dxa"/>
          <w:left w:w="108" w:type="dxa"/>
          <w:bottom w:w="0" w:type="dxa"/>
          <w:right w:w="108" w:type="dxa"/>
        </w:tblCellMar>
        <w:tblLook w:val="04a0"/>
      </w:tblPr>
      <w:tblGrid>
        <w:gridCol w:w="2289"/>
        <w:gridCol w:w="2365"/>
        <w:gridCol w:w="2365"/>
        <w:gridCol w:w="2478"/>
      </w:tblGrid>
      <w:tr>
        <w:trPr/>
        <w:tc>
          <w:tcPr>
            <w:tcW w:w="2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Показатель</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Первое полугодие 2022 г.</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Первое полугодие 2023 г.</w:t>
            </w:r>
          </w:p>
        </w:tc>
        <w:tc>
          <w:tcPr>
            <w:tcW w:w="2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Изменение</w:t>
            </w:r>
          </w:p>
        </w:tc>
      </w:tr>
      <w:tr>
        <w:trPr/>
        <w:tc>
          <w:tcPr>
            <w:tcW w:w="2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Количество получателей</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345</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362</w:t>
            </w:r>
          </w:p>
        </w:tc>
        <w:tc>
          <w:tcPr>
            <w:tcW w:w="2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+17 семей (+4,9 %)</w:t>
            </w:r>
          </w:p>
        </w:tc>
      </w:tr>
      <w:tr>
        <w:trPr/>
        <w:tc>
          <w:tcPr>
            <w:tcW w:w="2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Общая сумма выплат, млн руб.</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8,9</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9,4</w:t>
            </w:r>
          </w:p>
        </w:tc>
        <w:tc>
          <w:tcPr>
            <w:tcW w:w="2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+0,5 млн руб. (+5,6 %)</w:t>
            </w:r>
          </w:p>
        </w:tc>
      </w:tr>
      <w:tr>
        <w:trPr/>
        <w:tc>
          <w:tcPr>
            <w:tcW w:w="2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Средний размер субсидии, руб.</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3612</w:t>
            </w:r>
          </w:p>
        </w:tc>
        <w:tc>
          <w:tcPr>
            <w:tcW w:w="23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3715</w:t>
            </w:r>
          </w:p>
        </w:tc>
        <w:tc>
          <w:tcPr>
            <w:tcW w:w="2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99"/>
              <w:jc w:val="center"/>
              <w:rPr>
                <w:rFonts w:ascii="Times New Roman" w:hAnsi="Times New Roman" w:cs="Times New Roman"/>
                <w:sz w:val="20"/>
                <w:szCs w:val="20"/>
              </w:rPr>
            </w:pPr>
            <w:r>
              <w:rPr>
                <w:rFonts w:cs="Times New Roman" w:ascii="Times New Roman" w:hAnsi="Times New Roman"/>
                <w:sz w:val="20"/>
                <w:szCs w:val="20"/>
              </w:rPr>
              <w:t>+103 руб. (+2,8 %)</w:t>
            </w:r>
          </w:p>
        </w:tc>
      </w:tr>
    </w:tbl>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Рост показателей обусловлен:</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увеличением количества семей, обратившихся за поддержкой;</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индексацией тарифов на ЖКУ, что привело к росту расчётной базы для компенсации;</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расширением перечня категорий, имеющих право на льготы.</w:t>
      </w:r>
    </w:p>
    <w:p>
      <w:pPr>
        <w:pStyle w:val="Normal"/>
        <w:spacing w:lineRule="auto" w:line="240" w:before="0" w:after="0"/>
        <w:ind w:firstLine="528" w:left="39" w:right="99"/>
        <w:jc w:val="both"/>
        <w:rPr>
          <w:rFonts w:ascii="Times New Roman" w:hAnsi="Times New Roman" w:cs="Times New Roman"/>
          <w:bCs/>
          <w:sz w:val="24"/>
          <w:szCs w:val="28"/>
        </w:rPr>
      </w:pPr>
      <w:r>
        <w:rPr>
          <w:rFonts w:cs="Times New Roman" w:ascii="Times New Roman" w:hAnsi="Times New Roman"/>
          <w:bCs/>
          <w:sz w:val="24"/>
          <w:szCs w:val="28"/>
        </w:rPr>
        <w:t>Источники финансирования и перспективы развития программы.</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Финансирование ЕДК осуществляется из краевого бюджета в рамках государственной программы социальной поддержки населения. В перспективе возможно:</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увеличение объёмов финансирования при росте доходов краевого бюджета;</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расширение категорий получателей за счёт включения новых социально уязвимых групп;</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упрощение процедуры оформления выплат через цифровые сервисы;</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t>- внедрение адресного подхода с учётом реальных потребностей семей.</w:t>
      </w:r>
    </w:p>
    <w:p>
      <w:pPr>
        <w:pStyle w:val="Normal"/>
        <w:spacing w:lineRule="auto" w:line="240" w:before="0" w:after="0"/>
        <w:ind w:firstLine="528" w:left="39" w:right="99"/>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ind w:firstLine="528" w:left="39" w:right="99"/>
        <w:jc w:val="center"/>
        <w:rPr>
          <w:rFonts w:ascii="Times New Roman" w:hAnsi="Times New Roman" w:cs="Times New Roman"/>
          <w:sz w:val="24"/>
          <w:szCs w:val="28"/>
        </w:rPr>
      </w:pPr>
      <w:r>
        <w:rPr>
          <w:rFonts w:cs="Times New Roman" w:ascii="Times New Roman" w:hAnsi="Times New Roman"/>
          <w:sz w:val="24"/>
          <w:szCs w:val="28"/>
        </w:rPr>
        <w:t>11. УПРАВЛЕНИЕ ПРОГРАММОЙ</w:t>
      </w:r>
    </w:p>
    <w:p>
      <w:pPr>
        <w:pStyle w:val="Normal"/>
        <w:spacing w:lineRule="auto" w:line="240" w:before="0" w:after="0"/>
        <w:ind w:firstLine="527" w:left="4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ind w:firstLine="527" w:left="40"/>
        <w:jc w:val="both"/>
        <w:rPr>
          <w:rFonts w:ascii="Times New Roman" w:hAnsi="Times New Roman" w:cs="Times New Roman"/>
          <w:bCs/>
          <w:sz w:val="24"/>
          <w:szCs w:val="24"/>
        </w:rPr>
      </w:pPr>
      <w:r>
        <w:rPr>
          <w:rFonts w:cs="Times New Roman" w:ascii="Times New Roman" w:hAnsi="Times New Roman"/>
          <w:bCs/>
          <w:sz w:val="24"/>
          <w:szCs w:val="24"/>
        </w:rPr>
        <w:t>1. Организационная структура управления.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Ответственным за реализацию программы является Глава Туркменского муниципального округа Ставропольского края. В его полномочия входит:</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общее руководство реализацией программы;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координация деятельности всех задействованных органов и организаций;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утверждение ключевых документов и решений;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контроль за целевым использованием бюджетных средств;</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принятие оперативных решений при возникновении рисков или отклонений от плана.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Для обеспечения эффективного управления программой создаётся координационный совет, в состав которого входят:</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представители администрации округа;</w:t>
      </w:r>
    </w:p>
    <w:p>
      <w:pPr>
        <w:pStyle w:val="Normal"/>
        <w:spacing w:lineRule="auto" w:line="240" w:before="0" w:after="0"/>
        <w:ind w:firstLine="527" w:left="40"/>
        <w:jc w:val="both"/>
        <w:rPr/>
      </w:pPr>
      <w:r>
        <w:rPr>
          <w:rFonts w:cs="Times New Roman" w:ascii="Times New Roman" w:hAnsi="Times New Roman"/>
          <w:sz w:val="24"/>
          <w:szCs w:val="24"/>
        </w:rPr>
        <w:t>- руководители профильных управлений;</w:t>
      </w:r>
    </w:p>
    <w:p>
      <w:pPr>
        <w:pStyle w:val="Normal"/>
        <w:spacing w:lineRule="auto" w:line="240" w:before="0" w:after="0"/>
        <w:ind w:firstLine="527" w:left="40"/>
        <w:jc w:val="both"/>
        <w:rPr/>
      </w:pPr>
      <w:r>
        <w:rPr>
          <w:rFonts w:cs="Times New Roman" w:ascii="Times New Roman" w:hAnsi="Times New Roman"/>
          <w:sz w:val="24"/>
          <w:szCs w:val="24"/>
        </w:rPr>
        <w:t>- представители ресурсоснабжающих организаций;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представители краевого министерства ЖКХ (по согласованию);</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представители общественности и экспертного сообщества.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Функции координационного совета: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мониторинг реализации программы;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рассмотрение вопросов корректировки мероприятий;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разрешение межведомственных разногласий;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подготовка предложений по оптимизации финансирования.</w:t>
      </w:r>
    </w:p>
    <w:p>
      <w:pPr>
        <w:pStyle w:val="Normal"/>
        <w:spacing w:lineRule="auto" w:line="240" w:before="0" w:after="0"/>
        <w:ind w:firstLine="527" w:left="40"/>
        <w:jc w:val="both"/>
        <w:rPr>
          <w:rFonts w:ascii="Times New Roman" w:hAnsi="Times New Roman" w:cs="Times New Roman"/>
          <w:bCs/>
          <w:sz w:val="24"/>
          <w:szCs w:val="24"/>
        </w:rPr>
      </w:pPr>
      <w:r>
        <w:rPr>
          <w:rFonts w:cs="Times New Roman" w:ascii="Times New Roman" w:hAnsi="Times New Roman"/>
          <w:bCs/>
          <w:sz w:val="24"/>
          <w:szCs w:val="24"/>
        </w:rPr>
        <w:t>2. План график работ.</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План график работ по реализации программы, включая сроки: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разработки технических заданий для организаций коммунального комплекса;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принятия решений по выделению бюджетных средств;</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подготовки и проведения конкурсов на привлечение инвесторов (в том числе на концессию);</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заключения контрактов с подрядчиками и поставщиками;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выполнения строительно - монтажных и реконструкционных работ;</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ввода объектов в эксплуатацию;</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утверждается дополнительно после принятия Программы комплексного развития систем коммунальной инфраструктуры.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При формировании плана графика учитываются: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сроки действия разрешительной документации;</w:t>
      </w:r>
    </w:p>
    <w:p>
      <w:pPr>
        <w:pStyle w:val="Normal"/>
        <w:spacing w:lineRule="auto" w:line="240" w:before="0" w:after="0"/>
        <w:ind w:left="40"/>
        <w:jc w:val="both"/>
        <w:rPr>
          <w:rFonts w:ascii="Times New Roman" w:hAnsi="Times New Roman" w:cs="Times New Roman"/>
          <w:sz w:val="24"/>
          <w:szCs w:val="24"/>
        </w:rPr>
      </w:pPr>
      <w:r>
        <w:rPr>
          <w:rFonts w:cs="Times New Roman" w:ascii="Times New Roman" w:hAnsi="Times New Roman"/>
          <w:sz w:val="24"/>
          <w:szCs w:val="24"/>
        </w:rPr>
        <w:t>- сезонность выполнения отдельных видов работ (например, прокладка сетей, благоустройство территорий);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графики финансирования из бюджетов разных уровней;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требования законодательства о закупках (ФЗ № 44, ФЗ №223).</w:t>
      </w:r>
    </w:p>
    <w:p>
      <w:pPr>
        <w:pStyle w:val="Normal"/>
        <w:spacing w:lineRule="auto" w:line="240" w:before="0" w:after="0"/>
        <w:ind w:firstLine="527" w:left="40"/>
        <w:jc w:val="both"/>
        <w:rPr>
          <w:rFonts w:ascii="Times New Roman" w:hAnsi="Times New Roman" w:cs="Times New Roman"/>
          <w:bCs/>
          <w:sz w:val="24"/>
          <w:szCs w:val="24"/>
        </w:rPr>
      </w:pPr>
      <w:r>
        <w:rPr>
          <w:rFonts w:cs="Times New Roman" w:ascii="Times New Roman" w:hAnsi="Times New Roman"/>
          <w:bCs/>
          <w:sz w:val="24"/>
          <w:szCs w:val="24"/>
        </w:rPr>
        <w:t>3. Порядок отчётности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Представление отчётности по выполнению программы производится до 1 марта года, следующего за отчётным.</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Отчёт должен содержать:</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сведения о выполнении плановых показателей (в том числе целевых индикаторов из таблицы 34);</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данные о фактическом освоении бюджетных средств с указанием источников финансирования;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информацию о заключённых контрактах и их исполнении;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анализ отклонений от плана (при наличии) и причины их возникновения;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предложения по корректировке программы на следующий период.</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Формы отчётности утверждаются отдельным распоряжением администрации округа. Отчёты подлежат публикации на официальном сайте муниципального образования для обеспечения прозрачности.</w:t>
      </w:r>
    </w:p>
    <w:p>
      <w:pPr>
        <w:pStyle w:val="Normal"/>
        <w:spacing w:lineRule="auto" w:line="240" w:before="0" w:after="0"/>
        <w:ind w:firstLine="527" w:left="40"/>
        <w:jc w:val="both"/>
        <w:rPr>
          <w:rFonts w:ascii="Times New Roman" w:hAnsi="Times New Roman" w:cs="Times New Roman"/>
          <w:bCs/>
          <w:sz w:val="24"/>
          <w:szCs w:val="24"/>
        </w:rPr>
      </w:pPr>
      <w:r>
        <w:rPr>
          <w:rFonts w:cs="Times New Roman" w:ascii="Times New Roman" w:hAnsi="Times New Roman"/>
          <w:bCs/>
          <w:sz w:val="24"/>
          <w:szCs w:val="24"/>
        </w:rPr>
        <w:t>4. Порядок корректировки программы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Корректировка программы осуществляется до 1 мая года, следующего за отчётным, после рассмотрения представленной отчётности.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Процедура корректировки включает следующие этапы: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Анализ отчётных данных — оценка достижения целевых показателей, эффективности использования средств, выявления проблемных зон.</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Подготовка предложений — формирование перечня изменений в мероприятиях, сроках и объёмах финансирования.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Общественные обсуждения (при необходимости) — проведение консультаций с заинтересованными сторонами, включая жителей округа.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Рассмотрение на координационном совете — согласование предложений с участниками программы.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Утверждение изменений — издание соответствующего постановления администрации округа.</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Основания для корректировки:</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изменение нормативно правовой базы в сфере ЖКХ;</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перераспределение бюджетных средств на краевом или федеральном уровне;</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выявление новых приоритетных объектов инфраструктуры;</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существенное отклонение фактических показателей от плановых;</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появление возможностей для привлечения внебюджетных инвестиций.</w:t>
      </w:r>
    </w:p>
    <w:p>
      <w:pPr>
        <w:pStyle w:val="Normal"/>
        <w:spacing w:lineRule="auto" w:line="240" w:before="0" w:after="0"/>
        <w:ind w:firstLine="527" w:left="40"/>
        <w:jc w:val="both"/>
        <w:rPr>
          <w:rFonts w:ascii="Times New Roman" w:hAnsi="Times New Roman" w:cs="Times New Roman"/>
          <w:bCs/>
          <w:sz w:val="24"/>
          <w:szCs w:val="24"/>
        </w:rPr>
      </w:pPr>
      <w:r>
        <w:rPr>
          <w:rFonts w:cs="Times New Roman" w:ascii="Times New Roman" w:hAnsi="Times New Roman"/>
          <w:bCs/>
          <w:sz w:val="24"/>
          <w:szCs w:val="24"/>
        </w:rPr>
        <w:t>5. Контроль и мониторинг.</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Для обеспечения прозрачности и эффективности управления программой внедряется система ежеквартального мониторинга, включающая:</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сбор данных о ходе реализации мероприятий;</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проверку соответствия фактических сроков запланированным;</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оценку качества выполненных работ;</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 аудит финансовых потоков.</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Результаты мониторинга рассматриваются на заседаниях координационного совета и служат основанием для оперативной корректировки действий без внесения изменений в саму программу.</w:t>
      </w:r>
    </w:p>
    <w:p>
      <w:pPr>
        <w:pStyle w:val="Normal"/>
        <w:spacing w:lineRule="auto" w:line="240" w:before="0" w:after="0"/>
        <w:ind w:firstLine="527" w:left="40"/>
        <w:jc w:val="both"/>
        <w:rPr>
          <w:rFonts w:ascii="Times New Roman" w:hAnsi="Times New Roman" w:cs="Times New Roman"/>
          <w:sz w:val="24"/>
          <w:szCs w:val="24"/>
        </w:rPr>
      </w:pPr>
      <w:r>
        <w:rPr>
          <w:rFonts w:cs="Times New Roman" w:ascii="Times New Roman" w:hAnsi="Times New Roman"/>
          <w:sz w:val="24"/>
          <w:szCs w:val="24"/>
        </w:rPr>
        <w:t>Таким образом, предложенная система управления программой обеспечивает чёткое распределение ответственности, регулярный контроль и гибкость в принятии решений, что позволяет эффективно достигать поставленных целей развития коммунальной инфраструктуры Туркменского муниципального округа.</w:t>
      </w:r>
    </w:p>
    <w:p>
      <w:pPr>
        <w:pStyle w:val="Normal"/>
        <w:spacing w:lineRule="auto" w:line="240" w:before="0" w:after="0"/>
        <w:ind w:firstLine="811" w:left="40"/>
        <w:jc w:val="both"/>
        <w:rPr>
          <w:rFonts w:ascii="Times New Roman" w:hAnsi="Times New Roman" w:cs="Times New Roman"/>
          <w:b/>
          <w:bCs/>
          <w:sz w:val="28"/>
          <w:szCs w:val="28"/>
        </w:rPr>
      </w:pPr>
      <w:r>
        <w:rPr>
          <w:rFonts w:cs="Times New Roman" w:ascii="Times New Roman" w:hAnsi="Times New Roman"/>
          <w:b/>
          <w:bCs/>
          <w:sz w:val="28"/>
          <w:szCs w:val="28"/>
        </w:rPr>
      </w:r>
    </w:p>
    <w:sectPr>
      <w:footerReference w:type="even" r:id="rId33"/>
      <w:footerReference w:type="default" r:id="rId34"/>
      <w:footerReference w:type="first" r:id="rId35"/>
      <w:type w:val="nextPage"/>
      <w:pgSz w:w="11906" w:h="16838"/>
      <w:pgMar w:left="1418" w:right="991" w:gutter="0" w:header="0" w:top="993" w:footer="708" w:bottom="993"/>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Calibri Light">
    <w:charset w:val="01"/>
    <w:family w:val="swiss"/>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 w:name="Arial">
    <w:charset w:val="01"/>
    <w:family w:val="swiss"/>
    <w:pitch w:val="variable"/>
  </w:font>
  <w:font w:name="Cambria Math">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09" w:hanging="360"/>
      </w:pPr>
      <w:rPr>
        <w:rFonts w:ascii="Liberation Sans" w:hAnsi="Liberation Sans" w:cs="Liberation Sans"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2">
    <w:lvl w:ilvl="0">
      <w:start w:val="1"/>
      <w:numFmt w:val="bullet"/>
      <w:lvlText w:val="-"/>
      <w:lvlJc w:val="left"/>
      <w:pPr>
        <w:tabs>
          <w:tab w:val="num" w:pos="0"/>
        </w:tabs>
        <w:ind w:left="826" w:hanging="142"/>
      </w:pPr>
      <w:rPr>
        <w:rFonts w:ascii="Times New Roman" w:hAnsi="Times New Roman" w:cs="Times New Roman" w:hint="default"/>
        <w:sz w:val="28"/>
        <w:i w:val="false"/>
        <w:b w:val="false"/>
        <w:szCs w:val="28"/>
        <w:iCs w:val="false"/>
        <w:bCs w:val="false"/>
        <w:w w:val="100"/>
      </w:rPr>
    </w:lvl>
    <w:lvl w:ilvl="1">
      <w:start w:val="1"/>
      <w:numFmt w:val="bullet"/>
      <w:lvlText w:val=""/>
      <w:lvlJc w:val="left"/>
      <w:pPr>
        <w:tabs>
          <w:tab w:val="num" w:pos="0"/>
        </w:tabs>
        <w:ind w:left="1752" w:hanging="142"/>
      </w:pPr>
      <w:rPr>
        <w:rFonts w:ascii="Symbol" w:hAnsi="Symbol" w:cs="Symbol" w:hint="default"/>
      </w:rPr>
    </w:lvl>
    <w:lvl w:ilvl="2">
      <w:start w:val="1"/>
      <w:numFmt w:val="bullet"/>
      <w:lvlText w:val=""/>
      <w:lvlJc w:val="left"/>
      <w:pPr>
        <w:tabs>
          <w:tab w:val="num" w:pos="0"/>
        </w:tabs>
        <w:ind w:left="2685" w:hanging="142"/>
      </w:pPr>
      <w:rPr>
        <w:rFonts w:ascii="Symbol" w:hAnsi="Symbol" w:cs="Symbol" w:hint="default"/>
      </w:rPr>
    </w:lvl>
    <w:lvl w:ilvl="3">
      <w:start w:val="1"/>
      <w:numFmt w:val="bullet"/>
      <w:lvlText w:val=""/>
      <w:lvlJc w:val="left"/>
      <w:pPr>
        <w:tabs>
          <w:tab w:val="num" w:pos="0"/>
        </w:tabs>
        <w:ind w:left="3617" w:hanging="142"/>
      </w:pPr>
      <w:rPr>
        <w:rFonts w:ascii="Symbol" w:hAnsi="Symbol" w:cs="Symbol" w:hint="default"/>
      </w:rPr>
    </w:lvl>
    <w:lvl w:ilvl="4">
      <w:start w:val="1"/>
      <w:numFmt w:val="bullet"/>
      <w:lvlText w:val=""/>
      <w:lvlJc w:val="left"/>
      <w:pPr>
        <w:tabs>
          <w:tab w:val="num" w:pos="0"/>
        </w:tabs>
        <w:ind w:left="4550" w:hanging="142"/>
      </w:pPr>
      <w:rPr>
        <w:rFonts w:ascii="Symbol" w:hAnsi="Symbol" w:cs="Symbol" w:hint="default"/>
      </w:rPr>
    </w:lvl>
    <w:lvl w:ilvl="5">
      <w:start w:val="1"/>
      <w:numFmt w:val="bullet"/>
      <w:lvlText w:val=""/>
      <w:lvlJc w:val="left"/>
      <w:pPr>
        <w:tabs>
          <w:tab w:val="num" w:pos="0"/>
        </w:tabs>
        <w:ind w:left="5483" w:hanging="142"/>
      </w:pPr>
      <w:rPr>
        <w:rFonts w:ascii="Symbol" w:hAnsi="Symbol" w:cs="Symbol" w:hint="default"/>
      </w:rPr>
    </w:lvl>
    <w:lvl w:ilvl="6">
      <w:start w:val="1"/>
      <w:numFmt w:val="bullet"/>
      <w:lvlText w:val=""/>
      <w:lvlJc w:val="left"/>
      <w:pPr>
        <w:tabs>
          <w:tab w:val="num" w:pos="0"/>
        </w:tabs>
        <w:ind w:left="6415" w:hanging="142"/>
      </w:pPr>
      <w:rPr>
        <w:rFonts w:ascii="Symbol" w:hAnsi="Symbol" w:cs="Symbol" w:hint="default"/>
      </w:rPr>
    </w:lvl>
    <w:lvl w:ilvl="7">
      <w:start w:val="1"/>
      <w:numFmt w:val="bullet"/>
      <w:lvlText w:val=""/>
      <w:lvlJc w:val="left"/>
      <w:pPr>
        <w:tabs>
          <w:tab w:val="num" w:pos="0"/>
        </w:tabs>
        <w:ind w:left="7348" w:hanging="142"/>
      </w:pPr>
      <w:rPr>
        <w:rFonts w:ascii="Symbol" w:hAnsi="Symbol" w:cs="Symbol" w:hint="default"/>
      </w:rPr>
    </w:lvl>
    <w:lvl w:ilvl="8">
      <w:start w:val="1"/>
      <w:numFmt w:val="bullet"/>
      <w:lvlText w:val=""/>
      <w:lvlJc w:val="left"/>
      <w:pPr>
        <w:tabs>
          <w:tab w:val="num" w:pos="0"/>
        </w:tabs>
        <w:ind w:left="8281" w:hanging="142"/>
      </w:pPr>
      <w:rPr>
        <w:rFonts w:ascii="Symbol" w:hAnsi="Symbol" w:cs="Symbol" w:hint="default"/>
      </w:rPr>
    </w:lvl>
  </w:abstractNum>
  <w:abstractNum w:abstractNumId="3">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01d1"/>
    <w:pPr>
      <w:widowControl/>
      <w:suppressAutoHyphens w:val="true"/>
      <w:bidi w:val="0"/>
      <w:spacing w:lineRule="auto" w:line="259" w:before="0" w:after="160"/>
      <w:jc w:val="left"/>
    </w:pPr>
    <w:rPr>
      <w:rFonts w:ascii="Calibri" w:hAnsi="Calibri" w:eastAsia="Calibri" w:cs="Tahoma"/>
      <w:color w:val="auto"/>
      <w:kern w:val="0"/>
      <w:sz w:val="22"/>
      <w:szCs w:val="22"/>
      <w:lang w:val="ru-RU" w:eastAsia="en-US" w:bidi="ar-SA"/>
    </w:rPr>
  </w:style>
  <w:style w:type="paragraph" w:styleId="Heading1">
    <w:name w:val="heading 1"/>
    <w:basedOn w:val="Normal"/>
    <w:next w:val="Normal"/>
    <w:link w:val="11"/>
    <w:qFormat/>
    <w:rsid w:val="00f101d1"/>
    <w:pPr>
      <w:keepNext w:val="true"/>
      <w:keepLines/>
      <w:spacing w:before="240" w:after="0"/>
      <w:outlineLvl w:val="0"/>
    </w:pPr>
    <w:rPr>
      <w:rFonts w:ascii="Calibri Light" w:hAnsi="Calibri Light"/>
      <w:color w:themeColor="accent1" w:themeShade="bf" w:val="2F5496"/>
      <w:sz w:val="32"/>
      <w:szCs w:val="32"/>
    </w:rPr>
  </w:style>
  <w:style w:type="paragraph" w:styleId="Heading2">
    <w:name w:val="heading 2"/>
    <w:basedOn w:val="Normal"/>
    <w:next w:val="Normal"/>
    <w:link w:val="2"/>
    <w:qFormat/>
    <w:rsid w:val="00f101d1"/>
    <w:pPr>
      <w:keepNext w:val="true"/>
      <w:keepLines/>
      <w:spacing w:before="40" w:after="0"/>
      <w:outlineLvl w:val="1"/>
    </w:pPr>
    <w:rPr>
      <w:rFonts w:ascii="Calibri Light" w:hAnsi="Calibri Light"/>
      <w:color w:themeColor="accent1" w:themeShade="bf" w:val="2F5496"/>
      <w:sz w:val="26"/>
      <w:szCs w:val="26"/>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qFormat/>
    <w:rsid w:val="00f101d1"/>
    <w:rPr/>
  </w:style>
  <w:style w:type="character" w:styleId="Style13" w:customStyle="1">
    <w:name w:val="Нижний колонтитул Знак"/>
    <w:basedOn w:val="DefaultParagraphFont"/>
    <w:qFormat/>
    <w:rsid w:val="00f101d1"/>
    <w:rPr/>
  </w:style>
  <w:style w:type="character" w:styleId="1" w:customStyle="1">
    <w:name w:val="_ЗАГОЛОВОК 1 Знак"/>
    <w:link w:val="13"/>
    <w:qFormat/>
    <w:rsid w:val="006f17de"/>
    <w:rPr>
      <w:rFonts w:ascii="Times New Roman" w:hAnsi="Times New Roman" w:eastAsia="Times New Roman" w:cs="Times New Roman"/>
      <w:bCs/>
      <w:color w:val="000000"/>
      <w:sz w:val="24"/>
      <w:szCs w:val="24"/>
      <w:lang w:eastAsia="ru-RU"/>
    </w:rPr>
  </w:style>
  <w:style w:type="character" w:styleId="Bodytext2" w:customStyle="1">
    <w:name w:val="Body text (2)_"/>
    <w:link w:val="Bodytext21"/>
    <w:qFormat/>
    <w:rsid w:val="00f101d1"/>
    <w:rPr>
      <w:rFonts w:ascii="Times New Roman" w:hAnsi="Times New Roman" w:eastAsia="Times New Roman" w:cs="Times New Roman"/>
      <w:shd w:fill="FFFFFF" w:val="clear"/>
    </w:rPr>
  </w:style>
  <w:style w:type="character" w:styleId="markdown-word" w:customStyle="1">
    <w:name w:val="markdown-word"/>
    <w:basedOn w:val="DefaultParagraphFont"/>
    <w:qFormat/>
    <w:rsid w:val="00f101d1"/>
    <w:rPr/>
  </w:style>
  <w:style w:type="character" w:styleId="Style14" w:customStyle="1">
    <w:name w:val="Абзац списка Знак"/>
    <w:link w:val="ListParagraph"/>
    <w:qFormat/>
    <w:rsid w:val="00f101d1"/>
    <w:rPr/>
  </w:style>
  <w:style w:type="character" w:styleId="Strong">
    <w:name w:val="Strong"/>
    <w:basedOn w:val="DefaultParagraphFont"/>
    <w:qFormat/>
    <w:rsid w:val="00f101d1"/>
    <w:rPr>
      <w:b/>
      <w:bCs/>
    </w:rPr>
  </w:style>
  <w:style w:type="character" w:styleId="futurisfootnotegroup" w:customStyle="1">
    <w:name w:val="futurisfootnotegroup"/>
    <w:basedOn w:val="DefaultParagraphFont"/>
    <w:qFormat/>
    <w:rsid w:val="00f101d1"/>
    <w:rPr/>
  </w:style>
  <w:style w:type="character" w:styleId="Style15" w:customStyle="1">
    <w:name w:val="Основной текст Знак"/>
    <w:basedOn w:val="DefaultParagraphFont"/>
    <w:qFormat/>
    <w:rsid w:val="00f101d1"/>
    <w:rPr>
      <w:rFonts w:ascii="Times New Roman" w:hAnsi="Times New Roman" w:cs="Times New Roman"/>
      <w:b/>
      <w:bCs/>
      <w:sz w:val="28"/>
      <w:szCs w:val="28"/>
      <w:u w:val="single"/>
    </w:rPr>
  </w:style>
  <w:style w:type="character" w:styleId="11" w:customStyle="1">
    <w:name w:val="Заголовок 1 Знак"/>
    <w:basedOn w:val="DefaultParagraphFont"/>
    <w:qFormat/>
    <w:rsid w:val="00f101d1"/>
    <w:rPr>
      <w:rFonts w:ascii="Calibri Light" w:hAnsi="Calibri Light" w:eastAsia="Calibri" w:cs="Tahoma"/>
      <w:color w:themeColor="accent1" w:themeShade="bf" w:val="2F5496"/>
      <w:sz w:val="32"/>
      <w:szCs w:val="32"/>
    </w:rPr>
  </w:style>
  <w:style w:type="character" w:styleId="Hyperlink">
    <w:name w:val="Hyperlink"/>
    <w:basedOn w:val="DefaultParagraphFont"/>
    <w:rsid w:val="00f101d1"/>
    <w:rPr>
      <w:color w:themeColor="hyperlink" w:val="0563C1"/>
      <w:u w:val="single"/>
    </w:rPr>
  </w:style>
  <w:style w:type="character" w:styleId="Style16" w:customStyle="1">
    <w:name w:val="Название Знак"/>
    <w:basedOn w:val="DefaultParagraphFont"/>
    <w:qFormat/>
    <w:rsid w:val="00f101d1"/>
    <w:rPr>
      <w:rFonts w:ascii="Calibri Light" w:hAnsi="Calibri Light" w:eastAsia="Calibri" w:cs="Tahoma"/>
      <w:spacing w:val="-10"/>
      <w:kern w:val="2"/>
      <w:sz w:val="56"/>
      <w:szCs w:val="56"/>
    </w:rPr>
  </w:style>
  <w:style w:type="character" w:styleId="2" w:customStyle="1">
    <w:name w:val="Заголовок 2 Знак"/>
    <w:basedOn w:val="DefaultParagraphFont"/>
    <w:qFormat/>
    <w:rsid w:val="00f101d1"/>
    <w:rPr>
      <w:rFonts w:ascii="Calibri Light" w:hAnsi="Calibri Light" w:eastAsia="Calibri" w:cs="Tahoma"/>
      <w:color w:themeColor="accent1" w:themeShade="bf" w:val="2F5496"/>
      <w:sz w:val="26"/>
      <w:szCs w:val="26"/>
    </w:rPr>
  </w:style>
  <w:style w:type="character" w:styleId="Style17" w:customStyle="1">
    <w:name w:val="Ссылка указателя"/>
    <w:qFormat/>
    <w:rsid w:val="00f101d1"/>
    <w:rPr/>
  </w:style>
  <w:style w:type="character" w:styleId="Style18" w:customStyle="1">
    <w:name w:val="Текст выноски Знак"/>
    <w:basedOn w:val="DefaultParagraphFont"/>
    <w:link w:val="BalloonText"/>
    <w:qFormat/>
    <w:rsid w:val="00f101d1"/>
    <w:rPr>
      <w:rFonts w:ascii="Tahoma" w:hAnsi="Tahoma" w:cs="Tahoma"/>
      <w:sz w:val="16"/>
      <w:szCs w:val="16"/>
    </w:rPr>
  </w:style>
  <w:style w:type="character" w:styleId="FollowedHyperlink">
    <w:name w:val="FollowedHyperlink"/>
    <w:rPr>
      <w:color w:val="800000"/>
      <w:u w:val="single"/>
    </w:rPr>
  </w:style>
  <w:style w:type="paragraph" w:styleId="Style19" w:customStyle="1">
    <w:name w:val="Заголовок"/>
    <w:basedOn w:val="Normal"/>
    <w:next w:val="BodyText"/>
    <w:qFormat/>
    <w:rsid w:val="00f101d1"/>
    <w:pPr>
      <w:keepNext w:val="true"/>
      <w:spacing w:before="240" w:after="120"/>
    </w:pPr>
    <w:rPr>
      <w:rFonts w:ascii="Liberation Sans" w:hAnsi="Liberation Sans" w:eastAsia="Tahoma" w:cs="Noto Sans"/>
      <w:sz w:val="28"/>
      <w:szCs w:val="28"/>
    </w:rPr>
  </w:style>
  <w:style w:type="paragraph" w:styleId="BodyText">
    <w:name w:val="Body Text"/>
    <w:basedOn w:val="Normal"/>
    <w:link w:val="Style15"/>
    <w:rsid w:val="00f101d1"/>
    <w:pPr>
      <w:spacing w:lineRule="exact" w:line="291" w:before="0" w:after="0"/>
      <w:ind w:left="39"/>
    </w:pPr>
    <w:rPr>
      <w:rFonts w:ascii="Times New Roman" w:hAnsi="Times New Roman" w:cs="Times New Roman"/>
      <w:b/>
      <w:bCs/>
      <w:sz w:val="28"/>
      <w:szCs w:val="28"/>
      <w:u w:val="single"/>
    </w:rPr>
  </w:style>
  <w:style w:type="paragraph" w:styleId="List">
    <w:name w:val="List"/>
    <w:basedOn w:val="BodyText"/>
    <w:rsid w:val="00f101d1"/>
    <w:pPr/>
    <w:rPr>
      <w:rFonts w:cs="Noto Sans"/>
    </w:rPr>
  </w:style>
  <w:style w:type="paragraph" w:styleId="Caption">
    <w:name w:val="caption"/>
    <w:basedOn w:val="Normal"/>
    <w:qFormat/>
    <w:rsid w:val="00f101d1"/>
    <w:pPr>
      <w:suppressLineNumbers/>
      <w:spacing w:before="120" w:after="120"/>
    </w:pPr>
    <w:rPr>
      <w:rFonts w:cs="Noto Sans"/>
      <w:i/>
      <w:iCs/>
      <w:sz w:val="24"/>
      <w:szCs w:val="24"/>
    </w:rPr>
  </w:style>
  <w:style w:type="paragraph" w:styleId="Style20">
    <w:name w:val="Указатель"/>
    <w:basedOn w:val="Normal"/>
    <w:qFormat/>
    <w:pPr>
      <w:suppressLineNumbers/>
    </w:pPr>
    <w:rPr>
      <w:rFonts w:cs="Noto Sans"/>
    </w:rPr>
  </w:style>
  <w:style w:type="paragraph" w:styleId="user" w:customStyle="1">
    <w:name w:val="Заголовок (user)"/>
    <w:basedOn w:val="Normal"/>
    <w:next w:val="BodyText"/>
    <w:qFormat/>
    <w:rsid w:val="00f101d1"/>
    <w:pPr>
      <w:keepNext w:val="true"/>
      <w:spacing w:before="240" w:after="120"/>
    </w:pPr>
    <w:rPr>
      <w:rFonts w:ascii="Liberation Sans" w:hAnsi="Liberation Sans" w:eastAsia="Tahoma" w:cs="Noto Sans"/>
      <w:sz w:val="28"/>
      <w:szCs w:val="28"/>
    </w:rPr>
  </w:style>
  <w:style w:type="paragraph" w:styleId="IndexHeading">
    <w:name w:val="index heading"/>
    <w:basedOn w:val="user"/>
    <w:rsid w:val="00f101d1"/>
    <w:pPr/>
    <w:rPr/>
  </w:style>
  <w:style w:type="paragraph" w:styleId="12" w:customStyle="1">
    <w:name w:val="Указатель1"/>
    <w:basedOn w:val="Normal"/>
    <w:qFormat/>
    <w:rsid w:val="00f101d1"/>
    <w:pPr>
      <w:suppressLineNumbers/>
    </w:pPr>
    <w:rPr>
      <w:rFonts w:cs="Noto Sans"/>
    </w:rPr>
  </w:style>
  <w:style w:type="paragraph" w:styleId="Title">
    <w:name w:val="Title"/>
    <w:basedOn w:val="Normal"/>
    <w:next w:val="BodyText"/>
    <w:link w:val="Style16"/>
    <w:qFormat/>
    <w:rsid w:val="00f101d1"/>
    <w:pPr>
      <w:spacing w:lineRule="auto" w:line="240" w:before="0" w:after="0"/>
      <w:contextualSpacing/>
    </w:pPr>
    <w:rPr>
      <w:rFonts w:ascii="Calibri Light" w:hAnsi="Calibri Light"/>
      <w:spacing w:val="-10"/>
      <w:kern w:val="2"/>
      <w:sz w:val="56"/>
      <w:szCs w:val="56"/>
    </w:rPr>
  </w:style>
  <w:style w:type="paragraph" w:styleId="HeaderandFooter" w:customStyle="1">
    <w:name w:val="Header and Footer"/>
    <w:basedOn w:val="Normal"/>
    <w:qFormat/>
    <w:rsid w:val="00f101d1"/>
    <w:pPr/>
    <w:rPr/>
  </w:style>
  <w:style w:type="paragraph" w:styleId="Header">
    <w:name w:val="header"/>
    <w:basedOn w:val="Normal"/>
    <w:link w:val="Style12"/>
    <w:rsid w:val="00f101d1"/>
    <w:pPr>
      <w:tabs>
        <w:tab w:val="clear" w:pos="708"/>
        <w:tab w:val="center" w:pos="4677" w:leader="none"/>
        <w:tab w:val="right" w:pos="9355" w:leader="none"/>
      </w:tabs>
      <w:spacing w:lineRule="auto" w:line="240" w:before="0" w:after="0"/>
    </w:pPr>
    <w:rPr/>
  </w:style>
  <w:style w:type="paragraph" w:styleId="Footer">
    <w:name w:val="footer"/>
    <w:basedOn w:val="Normal"/>
    <w:link w:val="Style13"/>
    <w:rsid w:val="00f101d1"/>
    <w:pPr>
      <w:tabs>
        <w:tab w:val="clear" w:pos="708"/>
        <w:tab w:val="center" w:pos="4677" w:leader="none"/>
        <w:tab w:val="right" w:pos="9355" w:leader="none"/>
      </w:tabs>
      <w:spacing w:lineRule="auto" w:line="240" w:before="0" w:after="0"/>
    </w:pPr>
    <w:rPr/>
  </w:style>
  <w:style w:type="paragraph" w:styleId="Default" w:customStyle="1">
    <w:name w:val="Default"/>
    <w:qFormat/>
    <w:rsid w:val="00f101d1"/>
    <w:pPr>
      <w:widowControl/>
      <w:suppressAutoHyphens w:val="true"/>
      <w:bidi w:val="0"/>
      <w:spacing w:before="0" w:after="0"/>
      <w:jc w:val="left"/>
    </w:pPr>
    <w:rPr>
      <w:rFonts w:ascii="Times New Roman" w:hAnsi="Times New Roman" w:cs="Times New Roman" w:eastAsia="Calibri"/>
      <w:color w:val="000000"/>
      <w:kern w:val="0"/>
      <w:sz w:val="24"/>
      <w:szCs w:val="24"/>
      <w:lang w:val="ru-RU" w:eastAsia="en-US" w:bidi="ar-SA"/>
    </w:rPr>
  </w:style>
  <w:style w:type="paragraph" w:styleId="13" w:customStyle="1">
    <w:name w:val="_ЗАГОЛОВОК 1"/>
    <w:basedOn w:val="Normal"/>
    <w:link w:val="1"/>
    <w:autoRedefine/>
    <w:qFormat/>
    <w:rsid w:val="006f17de"/>
    <w:pPr>
      <w:keepNext w:val="true"/>
      <w:pageBreakBefore/>
      <w:spacing w:lineRule="auto" w:line="240" w:before="0" w:after="0"/>
      <w:ind w:firstLine="567"/>
      <w:jc w:val="center"/>
      <w:outlineLvl w:val="0"/>
    </w:pPr>
    <w:rPr>
      <w:rFonts w:ascii="Times New Roman" w:hAnsi="Times New Roman" w:eastAsia="Times New Roman" w:cs="Times New Roman"/>
      <w:bCs/>
      <w:color w:val="000000"/>
      <w:sz w:val="24"/>
      <w:szCs w:val="24"/>
      <w:lang w:eastAsia="ru-RU"/>
    </w:rPr>
  </w:style>
  <w:style w:type="paragraph" w:styleId="Bodytext21" w:customStyle="1">
    <w:name w:val="Body text (2)"/>
    <w:basedOn w:val="Normal"/>
    <w:link w:val="Bodytext2"/>
    <w:qFormat/>
    <w:rsid w:val="00f101d1"/>
    <w:pPr>
      <w:shd w:val="clear" w:color="auto" w:fill="FFFFFF"/>
      <w:spacing w:lineRule="exact" w:line="394" w:before="0" w:after="3060"/>
      <w:ind w:hanging="360"/>
      <w:jc w:val="center"/>
    </w:pPr>
    <w:rPr>
      <w:rFonts w:ascii="Times New Roman" w:hAnsi="Times New Roman" w:eastAsia="Times New Roman" w:cs="Times New Roman"/>
    </w:rPr>
  </w:style>
  <w:style w:type="paragraph" w:styleId="NormalWeb">
    <w:name w:val="Normal (Web)"/>
    <w:basedOn w:val="Normal"/>
    <w:uiPriority w:val="99"/>
    <w:qFormat/>
    <w:rsid w:val="00f101d1"/>
    <w:pPr>
      <w:spacing w:lineRule="auto" w:line="240" w:before="280" w:after="280"/>
    </w:pPr>
    <w:rPr>
      <w:rFonts w:ascii="Times New Roman" w:hAnsi="Times New Roman" w:eastAsia="Times New Roman" w:cs="Times New Roman"/>
      <w:sz w:val="24"/>
      <w:szCs w:val="24"/>
      <w:lang w:eastAsia="ru-RU"/>
    </w:rPr>
  </w:style>
  <w:style w:type="paragraph" w:styleId="ListParagraph">
    <w:name w:val="List Paragraph"/>
    <w:basedOn w:val="Normal"/>
    <w:link w:val="Style14"/>
    <w:qFormat/>
    <w:rsid w:val="00f101d1"/>
    <w:pPr>
      <w:spacing w:before="0" w:after="160"/>
      <w:ind w:left="720"/>
      <w:contextualSpacing/>
    </w:pPr>
    <w:rPr/>
  </w:style>
  <w:style w:type="paragraph" w:styleId="TableParagraph" w:customStyle="1">
    <w:name w:val="Table Paragraph"/>
    <w:basedOn w:val="Normal"/>
    <w:qFormat/>
    <w:rsid w:val="00f101d1"/>
    <w:pPr>
      <w:spacing w:lineRule="auto" w:line="240" w:before="0" w:after="0"/>
      <w:ind w:left="75"/>
    </w:pPr>
    <w:rPr>
      <w:rFonts w:ascii="Times New Roman" w:hAnsi="Times New Roman" w:cs="Times New Roman"/>
      <w:sz w:val="24"/>
      <w:szCs w:val="24"/>
    </w:rPr>
  </w:style>
  <w:style w:type="paragraph" w:styleId="TOCHeading">
    <w:name w:val="TOC Heading"/>
    <w:basedOn w:val="Heading1"/>
    <w:next w:val="Normal"/>
    <w:qFormat/>
    <w:rsid w:val="00f101d1"/>
    <w:pPr>
      <w:outlineLvl w:val="9"/>
    </w:pPr>
    <w:rPr>
      <w:lang w:eastAsia="ru-RU"/>
    </w:rPr>
  </w:style>
  <w:style w:type="paragraph" w:styleId="TOC1">
    <w:name w:val="toc 1"/>
    <w:basedOn w:val="Normal"/>
    <w:next w:val="Normal"/>
    <w:autoRedefine/>
    <w:rsid w:val="00f101d1"/>
    <w:pPr>
      <w:spacing w:before="0" w:after="100"/>
    </w:pPr>
    <w:rPr/>
  </w:style>
  <w:style w:type="paragraph" w:styleId="user1" w:customStyle="1">
    <w:name w:val="Верхний колонтитул слева (user)"/>
    <w:basedOn w:val="Header"/>
    <w:qFormat/>
    <w:rsid w:val="00f101d1"/>
    <w:pPr>
      <w:suppressLineNumbers/>
      <w:tabs>
        <w:tab w:val="clear" w:pos="4677"/>
        <w:tab w:val="clear" w:pos="9355"/>
        <w:tab w:val="center" w:pos="4819" w:leader="none"/>
        <w:tab w:val="right" w:pos="9638" w:leader="none"/>
      </w:tabs>
    </w:pPr>
    <w:rPr/>
  </w:style>
  <w:style w:type="paragraph" w:styleId="ConsPlusTitle" w:customStyle="1">
    <w:name w:val="ConsPlusTitle"/>
    <w:qFormat/>
    <w:rsid w:val="00f101d1"/>
    <w:pPr>
      <w:widowControl w:val="false"/>
      <w:suppressAutoHyphens w:val="true"/>
      <w:bidi w:val="0"/>
      <w:spacing w:before="0" w:after="0"/>
      <w:jc w:val="left"/>
    </w:pPr>
    <w:rPr>
      <w:rFonts w:eastAsia="Times New Roman" w:cs="Calibri" w:ascii="Calibri" w:hAnsi="Calibri"/>
      <w:b/>
      <w:color w:val="auto"/>
      <w:kern w:val="0"/>
      <w:sz w:val="22"/>
      <w:szCs w:val="20"/>
      <w:lang w:eastAsia="zh-CN" w:val="ru-RU" w:bidi="ar-SA"/>
    </w:rPr>
  </w:style>
  <w:style w:type="paragraph" w:styleId="NoSpacing">
    <w:name w:val="No Spacing"/>
    <w:qFormat/>
    <w:rsid w:val="00f101d1"/>
    <w:pPr>
      <w:widowControl/>
      <w:suppressAutoHyphens w:val="true"/>
      <w:bidi w:val="0"/>
      <w:spacing w:before="0" w:after="0"/>
      <w:jc w:val="left"/>
    </w:pPr>
    <w:rPr>
      <w:rFonts w:cs="Times New Roman" w:ascii="Calibri" w:hAnsi="Calibri" w:eastAsia="Calibri"/>
      <w:color w:val="auto"/>
      <w:kern w:val="0"/>
      <w:sz w:val="22"/>
      <w:szCs w:val="22"/>
      <w:lang w:eastAsia="zh-CN" w:val="ru-RU" w:bidi="ar-SA"/>
    </w:rPr>
  </w:style>
  <w:style w:type="paragraph" w:styleId="BalloonText">
    <w:name w:val="Balloon Text"/>
    <w:basedOn w:val="Normal"/>
    <w:link w:val="Style18"/>
    <w:qFormat/>
    <w:rsid w:val="00f101d1"/>
    <w:pPr>
      <w:spacing w:lineRule="auto" w:line="240" w:before="0" w:after="0"/>
    </w:pPr>
    <w:rPr>
      <w:rFonts w:ascii="Tahoma" w:hAnsi="Tahoma"/>
      <w:sz w:val="16"/>
      <w:szCs w:val="16"/>
    </w:rPr>
  </w:style>
  <w:style w:type="paragraph" w:styleId="ConsPlusNormal" w:customStyle="1">
    <w:name w:val="ConsPlusNormal"/>
    <w:qFormat/>
    <w:rsid w:val="00f101d1"/>
    <w:pPr>
      <w:widowControl w:val="false"/>
      <w:suppressAutoHyphens w:val="true"/>
      <w:bidi w:val="0"/>
      <w:spacing w:before="0" w:after="0"/>
      <w:jc w:val="left"/>
    </w:pPr>
    <w:rPr>
      <w:rFonts w:ascii="Arial" w:hAnsi="Arial" w:cs="Arial" w:eastAsia="Calibri"/>
      <w:color w:val="auto"/>
      <w:kern w:val="0"/>
      <w:sz w:val="20"/>
      <w:szCs w:val="20"/>
      <w:lang w:eastAsia="ru-RU" w:val="ru-RU" w:bidi="ar-SA"/>
    </w:rPr>
  </w:style>
  <w:style w:type="paragraph" w:styleId="Style21" w:customStyle="1">
    <w:name w:val="Содержимое таблицы"/>
    <w:basedOn w:val="Normal"/>
    <w:qFormat/>
    <w:rsid w:val="00f101d1"/>
    <w:pPr>
      <w:widowControl w:val="false"/>
      <w:suppressLineNumbers/>
    </w:pPr>
    <w:rPr/>
  </w:style>
  <w:style w:type="numbering" w:styleId="Style22" w:customStyle="1">
    <w:name w:val="Без списка"/>
    <w:qFormat/>
    <w:rsid w:val="00f101d1"/>
  </w:style>
  <w:style w:type="numbering" w:styleId="14" w:customStyle="1">
    <w:name w:val="Нет списка1"/>
    <w:qFormat/>
    <w:rsid w:val="00f101d1"/>
  </w:style>
  <w:style w:type="numbering" w:styleId="21" w:customStyle="1">
    <w:name w:val="Нет списка2"/>
    <w:qFormat/>
    <w:rsid w:val="00f101d1"/>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531468&amp;date=20.05.2026&amp;rnd=5gmNUg" TargetMode="External"/><Relationship Id="rId3" Type="http://schemas.openxmlformats.org/officeDocument/2006/relationships/hyperlink" Target="http://&#1087;&#1088;&#1072;&#1074;&#1086;" TargetMode="External"/><Relationship Id="rId4" Type="http://schemas.openxmlformats.org/officeDocument/2006/relationships/hyperlink" Target="https://login.consultant.ru/link/?req=doc&amp;base=LAW&amp;n=531468&amp;date=20.05.2026&amp;rnd=5gmNUg" TargetMode="External"/><Relationship Id="rId5" Type="http://schemas.openxmlformats.org/officeDocument/2006/relationships/hyperlink" Target="https://login.consultant.ru/link/?req=doc&amp;base=LAW&amp;n=531468&amp;date=20.05.2026&amp;rnd=5gmNUg"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hyperlink" Target="https://docs.cntd.ru/document/439060229" TargetMode="External"/><Relationship Id="rId21" Type="http://schemas.openxmlformats.org/officeDocument/2006/relationships/footer" Target="footer15.xml"/><Relationship Id="rId22" Type="http://schemas.openxmlformats.org/officeDocument/2006/relationships/footer" Target="footer16.xml"/><Relationship Id="rId23" Type="http://schemas.openxmlformats.org/officeDocument/2006/relationships/footer" Target="footer17.xml"/><Relationship Id="rId24" Type="http://schemas.openxmlformats.org/officeDocument/2006/relationships/footer" Target="footer18.xml"/><Relationship Id="rId25" Type="http://schemas.openxmlformats.org/officeDocument/2006/relationships/footer" Target="footer19.xml"/><Relationship Id="rId26" Type="http://schemas.openxmlformats.org/officeDocument/2006/relationships/footer" Target="footer20.xml"/><Relationship Id="rId27" Type="http://schemas.openxmlformats.org/officeDocument/2006/relationships/footer" Target="footer21.xml"/><Relationship Id="rId28" Type="http://schemas.openxmlformats.org/officeDocument/2006/relationships/footer" Target="footer22.xml"/><Relationship Id="rId29" Type="http://schemas.openxmlformats.org/officeDocument/2006/relationships/footer" Target="footer23.xml"/><Relationship Id="rId30" Type="http://schemas.openxmlformats.org/officeDocument/2006/relationships/footer" Target="footer24.xml"/><Relationship Id="rId31" Type="http://schemas.openxmlformats.org/officeDocument/2006/relationships/footer" Target="footer25.xml"/><Relationship Id="rId32" Type="http://schemas.openxmlformats.org/officeDocument/2006/relationships/footer" Target="footer26.xml"/><Relationship Id="rId33" Type="http://schemas.openxmlformats.org/officeDocument/2006/relationships/footer" Target="footer27.xml"/><Relationship Id="rId34" Type="http://schemas.openxmlformats.org/officeDocument/2006/relationships/footer" Target="footer28.xml"/><Relationship Id="rId35" Type="http://schemas.openxmlformats.org/officeDocument/2006/relationships/footer" Target="footer29.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1655</TotalTime>
  <Application>LibreOffice/24.8.5.2$Linux_X86_64 LibreOffice_project/480$Build-2</Application>
  <AppVersion>15.0000</AppVersion>
  <Pages>84</Pages>
  <Words>25662</Words>
  <Characters>185956</Characters>
  <CharactersWithSpaces>207626</CharactersWithSpaces>
  <Paragraphs>4176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2026-05-18T14:02:00Z</dcterms:created>
  <dc:creator>Полина</dc:creator>
  <dc:description/>
  <dc:language>ru-RU</dc:language>
  <cp:lastModifiedBy/>
  <cp:lastPrinted>2026-05-20T10:47:00Z</cp:lastPrinted>
  <dcterms:modified xsi:type="dcterms:W3CDTF">2026-08-26T17:00:04Z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