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highlight w:val="none"/>
          <w:shd w:fill="auto" w:val="clear"/>
        </w:rPr>
      </w:pPr>
      <w:r>
        <w:rPr>
          <w:color w:themeColor="text1" w:val="000000"/>
          <w:sz w:val="28"/>
          <w:szCs w:val="28"/>
          <w:shd w:fill="auto" w:val="clear"/>
        </w:rPr>
        <w:t xml:space="preserve">Пояснительная записка </w:t>
      </w:r>
    </w:p>
    <w:p>
      <w:pPr>
        <w:pStyle w:val="Normal"/>
        <w:jc w:val="center"/>
        <w:rPr>
          <w:highlight w:val="none"/>
          <w:shd w:fill="auto" w:val="clear"/>
        </w:rPr>
      </w:pPr>
      <w:r>
        <w:rPr>
          <w:color w:themeColor="text1" w:val="000000"/>
          <w:sz w:val="28"/>
          <w:szCs w:val="28"/>
          <w:shd w:fill="auto" w:val="clear"/>
        </w:rPr>
        <w:t xml:space="preserve">к уточненному прогнозу социально-экономического развития </w:t>
      </w:r>
    </w:p>
    <w:p>
      <w:pPr>
        <w:pStyle w:val="Normal"/>
        <w:jc w:val="center"/>
        <w:rPr>
          <w:highlight w:val="none"/>
          <w:shd w:fill="auto" w:val="clear"/>
        </w:rPr>
      </w:pPr>
      <w:r>
        <w:rPr>
          <w:color w:themeColor="text1" w:val="000000"/>
          <w:sz w:val="28"/>
          <w:szCs w:val="28"/>
          <w:shd w:fill="auto" w:val="clear"/>
        </w:rPr>
        <w:t xml:space="preserve">Туркменского муниципального округа Ставропольского края </w:t>
      </w:r>
    </w:p>
    <w:p>
      <w:pPr>
        <w:pStyle w:val="Normal"/>
        <w:jc w:val="center"/>
        <w:rPr>
          <w:highlight w:val="none"/>
          <w:shd w:fill="auto" w:val="clear"/>
        </w:rPr>
      </w:pPr>
      <w:r>
        <w:rPr>
          <w:color w:themeColor="text1" w:val="000000"/>
          <w:sz w:val="28"/>
          <w:szCs w:val="28"/>
          <w:shd w:fill="auto" w:val="clear"/>
        </w:rPr>
        <w:t>на 2027 год и на плановый период 2028 и 2029 годов</w:t>
      </w:r>
    </w:p>
    <w:p>
      <w:pPr>
        <w:pStyle w:val="Normal"/>
        <w:jc w:val="center"/>
        <w:rPr>
          <w:color w:themeColor="text1" w:val="000000"/>
          <w:sz w:val="28"/>
          <w:szCs w:val="28"/>
          <w:highlight w:val="none"/>
          <w:shd w:fill="auto" w:val="clear"/>
        </w:rPr>
      </w:pPr>
      <w:r>
        <w:rPr>
          <w:color w:themeColor="text1" w:val="000000"/>
          <w:sz w:val="28"/>
          <w:szCs w:val="28"/>
          <w:shd w:fill="auto" w:val="clear"/>
        </w:rPr>
      </w:r>
    </w:p>
    <w:p>
      <w:pPr>
        <w:pStyle w:val="Normal"/>
        <w:ind w:firstLine="567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  <w:lang w:eastAsia="en-US"/>
        </w:rPr>
        <w:t xml:space="preserve">Уточненный прогноз </w:t>
      </w:r>
      <w:r>
        <w:rPr>
          <w:sz w:val="28"/>
          <w:szCs w:val="28"/>
          <w:shd w:fill="auto" w:val="clear"/>
        </w:rPr>
        <w:t xml:space="preserve">социально-экономического развития Туркменского муниципального округа Ставропольского края на 2027 </w:t>
      </w:r>
      <w:r>
        <w:rPr>
          <w:color w:themeColor="text1" w:val="000000"/>
          <w:sz w:val="28"/>
          <w:szCs w:val="28"/>
          <w:shd w:fill="auto" w:val="clear"/>
        </w:rPr>
        <w:t>год и на плановый период 2028 и 2029 годов</w:t>
      </w:r>
      <w:r>
        <w:rPr>
          <w:sz w:val="28"/>
          <w:szCs w:val="28"/>
          <w:shd w:fill="auto" w:val="clear"/>
        </w:rPr>
        <w:t xml:space="preserve"> (далее - Прогноз) разработан на основе анализа тенденций развития экономики Туркменского муниципального округа округа за 2024-2025 годы и сложившейся экономической ситуации к октябрю 2026 года, а также </w:t>
      </w:r>
      <w:r>
        <w:rPr>
          <w:color w:val="000000"/>
          <w:sz w:val="28"/>
          <w:szCs w:val="28"/>
          <w:shd w:fill="auto" w:val="clear"/>
        </w:rPr>
        <w:t xml:space="preserve">в соответствии с материалами Министерства экономического развития Российской Федерации, данными </w:t>
      </w:r>
      <w:r>
        <w:rPr>
          <w:sz w:val="28"/>
          <w:szCs w:val="28"/>
          <w:shd w:fill="auto" w:val="clear"/>
        </w:rPr>
        <w:t>Управления Федеральной службы государственной статистики по Северо-Кавказскому Федеральному округу, показателями, представленными предприятиями и организациями, осуществляющими деятельность на территории Туркменского муниципального округа (далее - округ), с учетом сложившихся тенденций развития экономики.</w:t>
      </w:r>
    </w:p>
    <w:p>
      <w:pPr>
        <w:pStyle w:val="BodyText"/>
        <w:ind w:firstLine="567"/>
        <w:jc w:val="both"/>
        <w:rPr>
          <w:highlight w:val="none"/>
          <w:shd w:fill="auto" w:val="clear"/>
        </w:rPr>
      </w:pPr>
      <w:r>
        <w:rPr>
          <w:szCs w:val="28"/>
          <w:shd w:fill="auto" w:val="clear"/>
          <w:lang w:eastAsia="en-US"/>
        </w:rPr>
        <w:t xml:space="preserve">Прогноз разработан </w:t>
      </w:r>
      <w:r>
        <w:rPr>
          <w:color w:val="000000"/>
          <w:szCs w:val="28"/>
          <w:shd w:fill="auto" w:val="clear"/>
        </w:rPr>
        <w:t>в двух вариантах: консервативный и базовый. Р</w:t>
      </w:r>
      <w:r>
        <w:rPr>
          <w:szCs w:val="28"/>
          <w:shd w:fill="auto" w:val="clear"/>
        </w:rPr>
        <w:t>азличие вариантов обусловлено отличием моделей поведения субъектов предпринимательской деятельности, перспективами повышения конкурентоспособности и эффективности производства основных видов продукции.</w:t>
      </w:r>
    </w:p>
    <w:p>
      <w:pPr>
        <w:pStyle w:val="Normal"/>
        <w:ind w:firstLine="540"/>
        <w:jc w:val="center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ind w:firstLine="540"/>
        <w:jc w:val="center"/>
        <w:rPr>
          <w:highlight w:val="none"/>
          <w:shd w:fill="auto" w:val="clear"/>
        </w:rPr>
      </w:pPr>
      <w:r>
        <w:rPr>
          <w:b/>
          <w:sz w:val="28"/>
          <w:szCs w:val="28"/>
          <w:shd w:fill="auto" w:val="clear"/>
        </w:rPr>
        <w:t>Общая оценка социально-экономической ситуации</w:t>
      </w:r>
    </w:p>
    <w:p>
      <w:pPr>
        <w:pStyle w:val="Normal"/>
        <w:ind w:firstLine="540"/>
        <w:jc w:val="center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Spacing"/>
        <w:ind w:firstLine="72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b/>
          <w:sz w:val="28"/>
          <w:szCs w:val="28"/>
          <w:shd w:fill="auto" w:val="clear"/>
        </w:rPr>
        <w:t>Промышленное производство</w:t>
      </w:r>
    </w:p>
    <w:p>
      <w:pPr>
        <w:pStyle w:val="Normal"/>
        <w:ind w:firstLine="567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Производство промышленной продукции на территории Туркменского муниципального округа в отчетном периоде представлено обрабатывающим производством и обеспечением электрической энергией, газом и паром.</w:t>
      </w:r>
    </w:p>
    <w:p>
      <w:pPr>
        <w:pStyle w:val="Normal"/>
        <w:ind w:firstLine="567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Объем отгруженных товаров собственного производства, выполненных работ и услуг (далее - объем отгруженных товаров) по промышленным видам деятельности за январь - апрель 2026 года составил 82,6 млн. рублей</w:t>
      </w:r>
      <w:r>
        <w:rPr>
          <w:szCs w:val="28"/>
          <w:shd w:fill="auto" w:val="clear"/>
        </w:rPr>
        <w:t xml:space="preserve"> </w:t>
      </w:r>
      <w:r>
        <w:rPr>
          <w:sz w:val="28"/>
          <w:szCs w:val="28"/>
          <w:shd w:fill="auto" w:val="clear"/>
        </w:rPr>
        <w:t>или 104,2 % к уровню аналогичного периода прошлого года (в действующих ценах). Ожидается, что по итогам 2026 года объем отгруженных товаров достигнет 247,8 млн. рублей.</w:t>
      </w:r>
    </w:p>
    <w:p>
      <w:pPr>
        <w:pStyle w:val="Normal"/>
        <w:ind w:firstLine="567"/>
        <w:jc w:val="both"/>
        <w:rPr>
          <w:highlight w:val="none"/>
          <w:shd w:fill="auto" w:val="clear"/>
        </w:rPr>
      </w:pPr>
      <w:r>
        <w:rPr>
          <w:rFonts w:eastAsia="Calibri"/>
          <w:color w:val="000000"/>
          <w:sz w:val="28"/>
          <w:szCs w:val="28"/>
          <w:shd w:fill="auto" w:val="clear"/>
        </w:rPr>
        <w:t>О</w:t>
      </w:r>
      <w:r>
        <w:rPr>
          <w:rFonts w:eastAsia="Calibri"/>
          <w:sz w:val="28"/>
          <w:szCs w:val="28"/>
          <w:shd w:fill="auto" w:val="clear"/>
        </w:rPr>
        <w:t>бъем отгруженных товаров в обрабатывающих производствах за январь-апрель 2026 года составил 3,3</w:t>
      </w:r>
      <w:r>
        <w:rPr>
          <w:rFonts w:eastAsia="Calibri"/>
          <w:color w:val="000000"/>
          <w:sz w:val="28"/>
          <w:szCs w:val="28"/>
          <w:shd w:fill="auto" w:val="clear"/>
        </w:rPr>
        <w:t xml:space="preserve"> </w:t>
      </w:r>
      <w:r>
        <w:rPr>
          <w:rFonts w:eastAsia="Calibri"/>
          <w:sz w:val="28"/>
          <w:szCs w:val="28"/>
          <w:shd w:fill="auto" w:val="clear"/>
        </w:rPr>
        <w:t xml:space="preserve">млн. рублей или 76,0 % к уровню </w:t>
      </w:r>
      <w:r>
        <w:rPr>
          <w:sz w:val="28"/>
          <w:szCs w:val="28"/>
          <w:shd w:fill="auto" w:val="clear"/>
        </w:rPr>
        <w:t>ана</w:t>
        <w:softHyphen/>
        <w:t>логичного периода прошлого года</w:t>
      </w:r>
      <w:r>
        <w:rPr>
          <w:rFonts w:eastAsia="Calibri"/>
          <w:sz w:val="28"/>
          <w:szCs w:val="28"/>
          <w:shd w:fill="auto" w:val="clear"/>
        </w:rPr>
        <w:t>. П</w:t>
      </w:r>
      <w:r>
        <w:rPr>
          <w:rFonts w:eastAsia="Calibri"/>
          <w:color w:val="000000"/>
          <w:sz w:val="28"/>
          <w:szCs w:val="28"/>
          <w:shd w:fill="auto" w:val="clear"/>
        </w:rPr>
        <w:t>о итогам</w:t>
      </w:r>
      <w:r>
        <w:rPr>
          <w:rFonts w:eastAsia="Calibri"/>
          <w:sz w:val="28"/>
          <w:szCs w:val="28"/>
          <w:shd w:fill="auto" w:val="clear"/>
        </w:rPr>
        <w:t xml:space="preserve"> 2026 год</w:t>
      </w:r>
      <w:r>
        <w:rPr>
          <w:rFonts w:eastAsia="Calibri"/>
          <w:color w:val="000000"/>
          <w:sz w:val="28"/>
          <w:szCs w:val="28"/>
          <w:shd w:fill="auto" w:val="clear"/>
        </w:rPr>
        <w:t>а</w:t>
      </w:r>
      <w:r>
        <w:rPr>
          <w:rFonts w:eastAsia="Calibri"/>
          <w:sz w:val="28"/>
          <w:szCs w:val="28"/>
          <w:shd w:fill="auto" w:val="clear"/>
        </w:rPr>
        <w:t xml:space="preserve"> данный показатель прогнозируется на уровне 14,7 млн. рублей.</w:t>
      </w:r>
      <w:r>
        <w:rPr>
          <w:sz w:val="28"/>
          <w:szCs w:val="28"/>
          <w:shd w:fill="auto" w:val="clear"/>
        </w:rPr>
        <w:t xml:space="preserve"> К 2029 году значение данного показателя достигнет 15,2 млн. рублей.</w:t>
      </w:r>
    </w:p>
    <w:p>
      <w:pPr>
        <w:pStyle w:val="Normal"/>
        <w:ind w:firstLine="567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Объем обеспечения электрической энергией и газом к 2029 году составит 172,68 млн. рублей.</w:t>
      </w:r>
    </w:p>
    <w:p>
      <w:pPr>
        <w:pStyle w:val="Normal"/>
        <w:jc w:val="center"/>
        <w:rPr>
          <w:highlight w:val="none"/>
          <w:shd w:fill="auto" w:val="clear"/>
        </w:rPr>
      </w:pPr>
      <w:r>
        <w:rPr>
          <w:b/>
          <w:sz w:val="28"/>
          <w:szCs w:val="28"/>
          <w:shd w:fill="auto" w:val="clear"/>
        </w:rPr>
        <w:t>Сельское хозяйство</w:t>
      </w:r>
    </w:p>
    <w:p>
      <w:pPr>
        <w:pStyle w:val="Normal"/>
        <w:spacing w:lineRule="auto" w:line="240" w:before="0" w:after="0"/>
        <w:ind w:firstLine="709" w:right="0"/>
        <w:jc w:val="both"/>
        <w:rPr>
          <w:i w:val="false"/>
          <w:i w:val="false"/>
          <w:iCs w:val="false"/>
        </w:rPr>
      </w:pPr>
      <w:r>
        <w:rPr>
          <w:rFonts w:cs="Times New Roman"/>
          <w:i w:val="false"/>
          <w:iCs w:val="false"/>
          <w:sz w:val="28"/>
          <w:szCs w:val="28"/>
          <w:shd w:fill="auto" w:val="clear"/>
        </w:rPr>
        <w:t xml:space="preserve">Предварительно, объем продукции сельского хозяйства за 2026 год в денежном выражении составит около 8 257 млн. рублей, из которых продукция животноводства составит 54% или 4 462 млн. рублей, продукция растениеводства - 46% или 3 795 млн. рублей. </w:t>
      </w:r>
    </w:p>
    <w:p>
      <w:pPr>
        <w:pStyle w:val="Normal"/>
        <w:spacing w:lineRule="auto" w:line="240" w:before="0" w:after="0"/>
        <w:ind w:firstLine="709" w:right="0"/>
        <w:jc w:val="both"/>
        <w:rPr>
          <w:i w:val="false"/>
          <w:i w:val="false"/>
          <w:iCs w:val="false"/>
        </w:rPr>
      </w:pPr>
      <w:r>
        <w:rPr>
          <w:rFonts w:cs="Times New Roman"/>
          <w:i w:val="false"/>
          <w:iCs w:val="false"/>
          <w:sz w:val="28"/>
          <w:szCs w:val="28"/>
          <w:shd w:fill="auto" w:val="clear"/>
        </w:rPr>
        <w:t>К 2029 году по базовому варианту прогнозируется незначительный рост валовой продукции на 0,6%, в основном за счет увеличения цен. В натуральном выражении в 2026 году объем валового сбора зерна останется на уровне показателя 2025 года.</w:t>
      </w:r>
    </w:p>
    <w:p>
      <w:pPr>
        <w:pStyle w:val="Normal"/>
        <w:spacing w:lineRule="auto" w:line="240" w:before="0" w:after="0"/>
        <w:ind w:firstLine="709" w:right="0"/>
        <w:jc w:val="both"/>
        <w:rPr>
          <w:i w:val="false"/>
          <w:i w:val="false"/>
          <w:iCs w:val="false"/>
        </w:rPr>
      </w:pPr>
      <w:r>
        <w:rPr>
          <w:rFonts w:cs="Times New Roman"/>
          <w:i w:val="false"/>
          <w:iCs w:val="false"/>
          <w:sz w:val="28"/>
          <w:szCs w:val="28"/>
          <w:shd w:fill="auto" w:val="clear"/>
        </w:rPr>
        <w:t>В отношении валового сбора важнейших видов сельхозпродукции в 2026 году объем не изменится.</w:t>
      </w:r>
    </w:p>
    <w:p>
      <w:pPr>
        <w:pStyle w:val="Normal"/>
        <w:spacing w:lineRule="auto" w:line="240" w:before="0" w:after="0"/>
        <w:ind w:firstLine="709" w:right="0"/>
        <w:jc w:val="both"/>
        <w:rPr>
          <w:i w:val="false"/>
          <w:i w:val="false"/>
          <w:iCs w:val="false"/>
        </w:rPr>
      </w:pPr>
      <w:r>
        <w:rPr>
          <w:rFonts w:cs="Times New Roman"/>
          <w:i w:val="false"/>
          <w:iCs w:val="false"/>
          <w:sz w:val="28"/>
          <w:szCs w:val="28"/>
          <w:shd w:fill="auto" w:val="clear"/>
        </w:rPr>
        <w:t xml:space="preserve">Выращиванием картофеля и овощей на территории округа занимаются граждане, ведущие личное подсобное хозяйство, в связи с этим, величина валового сбора напрямую зависит от природно-климатических условий. </w:t>
      </w:r>
    </w:p>
    <w:p>
      <w:pPr>
        <w:pStyle w:val="Normal"/>
        <w:spacing w:lineRule="auto" w:line="240" w:before="0" w:after="0"/>
        <w:ind w:firstLine="708" w:right="0"/>
        <w:jc w:val="both"/>
        <w:rPr>
          <w:i w:val="false"/>
          <w:i w:val="false"/>
          <w:iCs w:val="false"/>
        </w:rPr>
      </w:pPr>
      <w:r>
        <w:rPr>
          <w:rFonts w:cs="Times New Roman"/>
          <w:i w:val="false"/>
          <w:iCs w:val="false"/>
          <w:sz w:val="28"/>
          <w:szCs w:val="28"/>
          <w:shd w:fill="auto" w:val="clear"/>
        </w:rPr>
        <w:t>В сельскохозяйственных организациях показатель производства скота и птица на убой (в живом весе) в 2025 году составил 45,5 тыс. тонн, что на 5,6% ниже уровня 2024 года. В 2026 году данный показатель оценивается на уровне 2025 года. Основными причинами сдерживающими рост данного показателя являются более длительный цикл выращивания КРС, а также высокая себестоимость такого производства.</w:t>
      </w:r>
    </w:p>
    <w:p>
      <w:pPr>
        <w:pStyle w:val="Normal"/>
        <w:spacing w:lineRule="auto" w:line="240" w:before="0" w:after="0"/>
        <w:ind w:firstLine="709" w:right="0"/>
        <w:jc w:val="both"/>
        <w:rPr>
          <w:i w:val="false"/>
          <w:i w:val="false"/>
          <w:iCs w:val="false"/>
        </w:rPr>
      </w:pPr>
      <w:r>
        <w:rPr>
          <w:rFonts w:cs="Times New Roman"/>
          <w:i w:val="false"/>
          <w:iCs w:val="false"/>
          <w:sz w:val="28"/>
          <w:szCs w:val="28"/>
          <w:shd w:fill="auto" w:val="clear"/>
        </w:rPr>
        <w:t>Объем производства молока в 2025 году составил 8,9  тыс. тонн. Основная доля, 90%, приходится на личные подсобные хозяйства, 10% на крестьянские (фермерские) хозяйства. На формирование данного показателя повлияло высокая стоимость и дефицит сочных кормов в личных подсобных хозяйствах. К 2029 году прогнозируется незначительный рост данного показателя до 9,3 тыс. тонн за счет роста цены реализации такой продукции.</w:t>
      </w:r>
    </w:p>
    <w:p>
      <w:pPr>
        <w:pStyle w:val="Normal"/>
        <w:spacing w:lineRule="auto" w:line="240" w:before="0" w:after="0"/>
        <w:ind w:firstLine="708" w:right="0"/>
        <w:jc w:val="both"/>
        <w:rPr>
          <w:i w:val="false"/>
          <w:i w:val="false"/>
          <w:iCs w:val="false"/>
        </w:rPr>
      </w:pPr>
      <w:r>
        <w:rPr>
          <w:rFonts w:cs="Times New Roman"/>
          <w:i w:val="false"/>
          <w:iCs w:val="false"/>
          <w:sz w:val="28"/>
          <w:szCs w:val="28"/>
          <w:shd w:fill="auto" w:val="clear"/>
        </w:rPr>
        <w:t xml:space="preserve">В отношении производства яиц: за 2025 год показатель составил           9 993 тыс. штук, в 2026 году прогнозируется рост объема производства на 1%, что может быть связано как с повышением яйценоскости, так и ростом поголовья птиц в хозяйствах населения округа. К 2029 году производство яиц составит 10250 тыс. штук. </w:t>
      </w:r>
    </w:p>
    <w:p>
      <w:pPr>
        <w:pStyle w:val="Normal"/>
        <w:spacing w:lineRule="auto" w:line="240" w:before="0" w:after="0"/>
        <w:ind w:firstLine="709" w:right="0"/>
        <w:jc w:val="both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ind w:firstLine="708"/>
        <w:jc w:val="center"/>
        <w:rPr>
          <w:color w:val="auto"/>
          <w:highlight w:val="none"/>
          <w:shd w:fill="auto" w:val="clear"/>
        </w:rPr>
      </w:pPr>
      <w:r>
        <w:rPr>
          <w:b/>
          <w:color w:val="000000"/>
          <w:sz w:val="28"/>
          <w:szCs w:val="28"/>
          <w:shd w:fill="auto" w:val="clear"/>
        </w:rPr>
        <w:t>Строительство</w:t>
      </w:r>
    </w:p>
    <w:p>
      <w:pPr>
        <w:pStyle w:val="Normal"/>
        <w:ind w:firstLine="567"/>
        <w:jc w:val="both"/>
        <w:rPr>
          <w:color w:val="auto"/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 xml:space="preserve">За 5 месяцев 2026 года введено 1284 кв. м общей площади жилых помещений, что составляет 25,6 % к уровню соответствующего периода 2025 года. Ожидается, что по итогам текущего года будет введено в действие около    5,9 тыс. кв. м. общей площади жилых помещений. К 2029 году в базовом варианте значение показателя составит 6,3 тыс. кв. м.       </w:t>
      </w:r>
    </w:p>
    <w:p>
      <w:pPr>
        <w:pStyle w:val="Normal"/>
        <w:ind w:firstLine="708"/>
        <w:jc w:val="center"/>
        <w:rPr>
          <w:color w:val="auto"/>
          <w:highlight w:val="none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ind w:firstLine="708"/>
        <w:jc w:val="center"/>
        <w:rPr>
          <w:highlight w:val="none"/>
          <w:shd w:fill="auto" w:val="clear"/>
        </w:rPr>
      </w:pPr>
      <w:r>
        <w:rPr>
          <w:b/>
          <w:sz w:val="28"/>
          <w:szCs w:val="28"/>
          <w:shd w:fill="auto" w:val="clear"/>
        </w:rPr>
        <w:t xml:space="preserve">Торговля и услуги </w:t>
      </w:r>
    </w:p>
    <w:p>
      <w:pPr>
        <w:pStyle w:val="Normal"/>
        <w:ind w:firstLine="709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 xml:space="preserve">Малое и среднее предпринимательство округа динамично развивается. Ожидается, что в среднесрочной перспективе сохранится стабильная ситуация в сфере развития </w:t>
      </w:r>
      <w:r>
        <w:rPr>
          <w:color w:val="000000"/>
          <w:sz w:val="28"/>
          <w:szCs w:val="28"/>
          <w:shd w:fill="auto" w:val="clear"/>
        </w:rPr>
        <w:t>м</w:t>
      </w:r>
      <w:r>
        <w:rPr>
          <w:sz w:val="28"/>
          <w:szCs w:val="28"/>
          <w:shd w:fill="auto" w:val="clear"/>
        </w:rPr>
        <w:t xml:space="preserve">алого и среднего предпринимательства. 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ab/>
        <w:t xml:space="preserve">За январь-март 2026 года оборот розничной торговли составил       132,2 млн. рублей, что на 18,3 млн. рублей выше уровня аналогичного периода 2025 года. 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ab/>
        <w:t xml:space="preserve">С учетом реальных располагаемых денежных доходов населения, по прогнозным расчетам, оборот розничной торговли в 2026 году в базовом варианте составит 580,0 млн. рублей. К 2029 году прогнозируется рост оборота розничной торговли в базовом варианте до 685,0 млн. рублей. </w:t>
      </w:r>
    </w:p>
    <w:p>
      <w:pPr>
        <w:pStyle w:val="Normal"/>
        <w:ind w:firstLine="68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Сфера услуг является важной, перспективной и быстроразвивающейся отраслью экономики. Объем платных услуг, оказанных населению в 2026 году, планируется в сумме 465,0 млн. рублей. По прогнозным расчетам объем платных услуг населению к 2029 году составит 610,0 млн. рублей.</w:t>
      </w:r>
    </w:p>
    <w:p>
      <w:pPr>
        <w:pStyle w:val="Normal"/>
        <w:spacing w:lineRule="auto" w:line="240"/>
        <w:ind w:firstLine="708"/>
        <w:jc w:val="center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spacing w:lineRule="auto" w:line="240"/>
        <w:ind w:firstLine="708"/>
        <w:jc w:val="center"/>
        <w:rPr>
          <w:highlight w:val="none"/>
          <w:shd w:fill="auto" w:val="clear"/>
        </w:rPr>
      </w:pPr>
      <w:r>
        <w:rPr>
          <w:b/>
          <w:sz w:val="28"/>
          <w:szCs w:val="28"/>
          <w:shd w:fill="auto" w:val="clear"/>
        </w:rPr>
        <w:t xml:space="preserve">Малое и среднее предпринимательство, </w:t>
      </w:r>
    </w:p>
    <w:p>
      <w:pPr>
        <w:pStyle w:val="Normal"/>
        <w:spacing w:lineRule="auto" w:line="240"/>
        <w:ind w:firstLine="708"/>
        <w:jc w:val="center"/>
        <w:rPr>
          <w:highlight w:val="none"/>
          <w:shd w:fill="auto" w:val="clear"/>
        </w:rPr>
      </w:pPr>
      <w:r>
        <w:rPr>
          <w:b/>
          <w:sz w:val="28"/>
          <w:szCs w:val="28"/>
          <w:shd w:fill="auto" w:val="clear"/>
        </w:rPr>
        <w:t>включая микропредприятия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ab/>
        <w:t>По предварительной оценке к концу 2026 года количество малых и средних предприятий составит 21 единицу с численностью работающих    0,384 тыс. человек. В 2029 году число малых и средних предприятий, включая микропредприятия, в базовом варианте останется на таком же уровне, прогнозируемая численность работающих - 0,389 тыс. человек.</w:t>
      </w:r>
    </w:p>
    <w:p>
      <w:pPr>
        <w:pStyle w:val="Normal"/>
        <w:jc w:val="center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jc w:val="center"/>
        <w:rPr>
          <w:highlight w:val="none"/>
          <w:shd w:fill="auto" w:val="clear"/>
        </w:rPr>
      </w:pPr>
      <w:r>
        <w:rPr>
          <w:b/>
          <w:sz w:val="28"/>
          <w:szCs w:val="28"/>
          <w:shd w:fill="auto" w:val="clear"/>
        </w:rPr>
        <w:t>Инвестиции</w:t>
      </w:r>
    </w:p>
    <w:p>
      <w:pPr>
        <w:pStyle w:val="Normal"/>
        <w:ind w:firstLine="708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 xml:space="preserve">Объем инвестиций в основной капитал за счет всех источников финансирования (без субъектов малого предпринимательства и объемов инвестиций, не наблюдаемых прямыми статистическими методами), за январь-март 2026 года составил 3,6 млн. рублей, что составляет 10,6 % к уровню аналогичного периода прошлого года. </w:t>
      </w:r>
    </w:p>
    <w:p>
      <w:pPr>
        <w:pStyle w:val="Normal"/>
        <w:ind w:firstLine="567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 xml:space="preserve"> </w:t>
      </w:r>
      <w:r>
        <w:rPr>
          <w:sz w:val="28"/>
          <w:szCs w:val="28"/>
          <w:shd w:fill="auto" w:val="clear"/>
        </w:rPr>
        <w:t xml:space="preserve">Основными факторами, сдерживающими инвестиционное развитие округа, остаются дефицит энергоресурсов (отсутствие свободных мощностей) и необходимой инженерной инфраструктуры. </w:t>
      </w:r>
    </w:p>
    <w:p>
      <w:pPr>
        <w:pStyle w:val="Normal"/>
        <w:ind w:firstLine="567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 xml:space="preserve"> </w:t>
      </w:r>
      <w:r>
        <w:rPr>
          <w:sz w:val="28"/>
          <w:szCs w:val="28"/>
          <w:shd w:fill="auto" w:val="clear"/>
        </w:rPr>
        <w:t>По предварительным расчетам к 2029 году объем инвестиций в основной капитал за счет всех источников финансирования в базовом варианте составит 183,0 млн. рублей.</w:t>
      </w:r>
    </w:p>
    <w:p>
      <w:pPr>
        <w:pStyle w:val="Normal"/>
        <w:spacing w:before="0" w:after="0"/>
        <w:ind w:firstLine="709"/>
        <w:contextualSpacing/>
        <w:jc w:val="center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spacing w:before="0" w:after="0"/>
        <w:ind w:firstLine="709"/>
        <w:contextualSpacing/>
        <w:jc w:val="center"/>
        <w:rPr>
          <w:highlight w:val="none"/>
          <w:shd w:fill="auto" w:val="clear"/>
        </w:rPr>
      </w:pPr>
      <w:r>
        <w:rPr>
          <w:b/>
          <w:sz w:val="28"/>
          <w:szCs w:val="28"/>
          <w:shd w:fill="auto" w:val="clear"/>
        </w:rPr>
        <w:t xml:space="preserve">Консолидированный бюджет </w:t>
      </w:r>
    </w:p>
    <w:p>
      <w:pPr>
        <w:pStyle w:val="Normal"/>
        <w:ind w:firstLine="709"/>
        <w:jc w:val="both"/>
        <w:rPr>
          <w:highlight w:val="none"/>
          <w:shd w:fill="auto" w:val="clear"/>
        </w:rPr>
      </w:pPr>
      <w:r>
        <w:rPr>
          <w:iCs/>
          <w:sz w:val="28"/>
          <w:szCs w:val="28"/>
          <w:shd w:fill="auto" w:val="clear"/>
        </w:rPr>
        <w:t>Общий объем доходов бюджета округа на 2026 год запланирован в сумме 1770,2 млн. рублей. На долю налоговых и не налоговых доходов бюджета округа в 2026 году приходится 15,7 % доходов бюджета округа.</w:t>
      </w:r>
    </w:p>
    <w:p>
      <w:pPr>
        <w:pStyle w:val="Normal"/>
        <w:ind w:firstLine="709"/>
        <w:jc w:val="both"/>
        <w:rPr>
          <w:highlight w:val="none"/>
          <w:shd w:fill="auto" w:val="clear"/>
        </w:rPr>
      </w:pPr>
      <w:r>
        <w:rPr>
          <w:iCs/>
          <w:sz w:val="28"/>
          <w:szCs w:val="28"/>
          <w:shd w:fill="auto" w:val="clear"/>
        </w:rPr>
        <w:t>Общий объем расходов бюджета округа на 2026 год оценивается в 1742,03 млн. рублей. Расходная часть бюджета округа сформирована на основе 14 муниципальных программ, охватывающих все сферы деятельности органов местного самоуправления.</w:t>
      </w:r>
    </w:p>
    <w:p>
      <w:pPr>
        <w:pStyle w:val="Normal"/>
        <w:ind w:firstLine="709"/>
        <w:jc w:val="both"/>
        <w:rPr>
          <w:highlight w:val="none"/>
          <w:shd w:fill="auto" w:val="clear"/>
        </w:rPr>
      </w:pPr>
      <w:r>
        <w:rPr>
          <w:iCs/>
          <w:sz w:val="28"/>
          <w:szCs w:val="28"/>
          <w:shd w:fill="auto" w:val="clear"/>
        </w:rPr>
        <w:t>Ожидается, что в 2026 году дефицит бюджета округа составит        28,17 млн. рублей, до конца прогнозного периода дефицита в бюджете округа не ожидается.</w:t>
      </w:r>
    </w:p>
    <w:p>
      <w:pPr>
        <w:pStyle w:val="Normal"/>
        <w:ind w:firstLine="709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  <w:lang w:eastAsia="en-US"/>
        </w:rPr>
        <w:t>Основные характеристики бюджета на 2027 год и плановый период 2028 и 2029 годов сформированы с учетом обязательств, направленных на обеспечение сбалансированности бюджета Туркменского муниципального округа Ставропольского края.</w:t>
      </w:r>
      <w:r>
        <w:rPr>
          <w:sz w:val="28"/>
          <w:szCs w:val="28"/>
          <w:shd w:fill="auto" w:val="clear"/>
        </w:rPr>
        <w:t xml:space="preserve"> </w:t>
      </w:r>
    </w:p>
    <w:p>
      <w:pPr>
        <w:pStyle w:val="Normal"/>
        <w:ind w:firstLine="708"/>
        <w:jc w:val="center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spacing w:before="0" w:after="0"/>
        <w:ind w:firstLine="708"/>
        <w:jc w:val="center"/>
        <w:rPr>
          <w:highlight w:val="none"/>
          <w:shd w:fill="auto" w:val="clear"/>
        </w:rPr>
      </w:pPr>
      <w:r>
        <w:rPr>
          <w:b/>
          <w:sz w:val="28"/>
          <w:szCs w:val="28"/>
          <w:shd w:fill="auto" w:val="clear"/>
        </w:rPr>
        <w:t>Труд и занятость</w:t>
      </w:r>
    </w:p>
    <w:p>
      <w:pPr>
        <w:pStyle w:val="Normal"/>
        <w:widowControl w:val="false"/>
        <w:ind w:firstLine="567"/>
        <w:jc w:val="both"/>
        <w:rPr>
          <w:highlight w:val="none"/>
          <w:shd w:fill="auto" w:val="clear"/>
        </w:rPr>
      </w:pPr>
      <w:r>
        <w:rPr>
          <w:rFonts w:eastAsia="Lucida Sans Unicode"/>
          <w:sz w:val="28"/>
          <w:szCs w:val="28"/>
          <w:shd w:fill="auto" w:val="clear"/>
        </w:rPr>
        <w:t xml:space="preserve">За январь-март 2026 года среднесписочная численность </w:t>
      </w:r>
      <w:r>
        <w:rPr>
          <w:sz w:val="28"/>
          <w:szCs w:val="28"/>
          <w:shd w:fill="auto" w:val="clear"/>
        </w:rPr>
        <w:t>работников организаций (крупные и средние организации, включая организации с численностью работников до 15 человек, без субъектов малого предпринимательства) составила 2,664</w:t>
      </w:r>
      <w:r>
        <w:rPr>
          <w:rFonts w:eastAsia="Lucida Sans Unicode"/>
          <w:sz w:val="28"/>
          <w:szCs w:val="28"/>
          <w:shd w:fill="auto" w:val="clear"/>
        </w:rPr>
        <w:t xml:space="preserve"> тыс. человек, что составляет 98,6 % к уровню 2025 года. К 2029 году данный показатель незначительно уменьшится и составит 2,69 тыс. человек.</w:t>
      </w:r>
    </w:p>
    <w:p>
      <w:pPr>
        <w:pStyle w:val="Normal"/>
        <w:widowControl w:val="false"/>
        <w:ind w:firstLine="567"/>
        <w:jc w:val="both"/>
        <w:rPr>
          <w:highlight w:val="none"/>
          <w:shd w:fill="auto" w:val="clear"/>
        </w:rPr>
      </w:pPr>
      <w:r>
        <w:rPr>
          <w:rFonts w:eastAsia="Lucida Sans Unicode"/>
          <w:sz w:val="28"/>
          <w:szCs w:val="28"/>
          <w:shd w:fill="auto" w:val="clear"/>
        </w:rPr>
        <w:t xml:space="preserve">Ожидается, что номинальная начисленная среднемесячная заработная плата работников организаций по итогам 2026 года повысится до 51943,03 рублей при темпе роста к 2025 году 107,5 %. </w:t>
      </w:r>
    </w:p>
    <w:p>
      <w:pPr>
        <w:pStyle w:val="Normal"/>
        <w:widowControl w:val="false"/>
        <w:ind w:firstLine="567"/>
        <w:jc w:val="both"/>
        <w:rPr>
          <w:highlight w:val="none"/>
          <w:shd w:fill="auto" w:val="clear"/>
        </w:rPr>
      </w:pPr>
      <w:r>
        <w:rPr>
          <w:rFonts w:eastAsia="Lucida Sans Unicode"/>
          <w:sz w:val="28"/>
          <w:szCs w:val="28"/>
          <w:shd w:fill="auto" w:val="clear"/>
        </w:rPr>
        <w:t xml:space="preserve">В 2026 году прогнозируется увеличение фонда заработной платы работников организаций на 5,6 % в сравнении с 2025 годом. </w:t>
      </w:r>
    </w:p>
    <w:p>
      <w:pPr>
        <w:pStyle w:val="Normal"/>
        <w:widowControl w:val="false"/>
        <w:ind w:firstLine="567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Ожидается, что по итогам 2026 года число безработных составит 145 человек, п</w:t>
      </w:r>
      <w:r>
        <w:rPr>
          <w:color w:val="000000"/>
          <w:sz w:val="28"/>
          <w:szCs w:val="28"/>
          <w:shd w:fill="auto" w:val="clear"/>
        </w:rPr>
        <w:t xml:space="preserve">о расчетам </w:t>
      </w:r>
      <w:r>
        <w:rPr>
          <w:sz w:val="28"/>
          <w:szCs w:val="28"/>
          <w:shd w:fill="auto" w:val="clear"/>
        </w:rPr>
        <w:t>к концу прогнозного периода уровень зарегистрированной безработицы составит 0,3 %.</w:t>
      </w:r>
    </w:p>
    <w:p>
      <w:pPr>
        <w:pStyle w:val="Normal"/>
        <w:ind w:firstLine="708"/>
        <w:jc w:val="center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ind w:firstLine="708"/>
        <w:jc w:val="center"/>
        <w:rPr>
          <w:highlight w:val="none"/>
          <w:shd w:fill="auto" w:val="clear"/>
        </w:rPr>
      </w:pPr>
      <w:r>
        <w:rPr>
          <w:b/>
          <w:sz w:val="28"/>
          <w:szCs w:val="28"/>
          <w:shd w:fill="auto" w:val="clear"/>
        </w:rPr>
        <w:t>Развитие социальной сферы</w:t>
      </w:r>
    </w:p>
    <w:p>
      <w:pPr>
        <w:pStyle w:val="Normal"/>
        <w:ind w:firstLine="708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По итогам 2025 года численность в дошкольных образовательных учреждениях округа составила 1073 ребенка (в 2024 году - 1162 детей). К концу прогноз</w:t>
      </w:r>
      <w:r>
        <w:rPr>
          <w:b w:val="false"/>
          <w:bCs w:val="false"/>
          <w:sz w:val="28"/>
          <w:szCs w:val="28"/>
          <w:shd w:fill="auto" w:val="clear"/>
        </w:rPr>
        <w:t xml:space="preserve">ного периода в базовом варианте численность детей, посещающих дошкольные образовательные учреждения, останется на уровне - 1081. </w:t>
      </w:r>
    </w:p>
    <w:p>
      <w:pPr>
        <w:pStyle w:val="Normal"/>
        <w:ind w:firstLine="708"/>
        <w:jc w:val="both"/>
        <w:rPr>
          <w:b w:val="false"/>
          <w:bCs w:val="false"/>
        </w:rPr>
      </w:pPr>
      <w:r>
        <w:rPr>
          <w:b w:val="false"/>
          <w:bCs w:val="false"/>
          <w:sz w:val="28"/>
          <w:szCs w:val="28"/>
          <w:shd w:fill="auto" w:val="clear"/>
        </w:rPr>
        <w:t>Обеспеченность больничными койками к 2029 году в базовом варианте составит 96 коек на 10 тыс. населения, общедоступными библиотеками – 80 учреждений на 100 тыс. человек населения, учреждениями культурно-досугового типа – 89 учреждений на 100 тыс. человек населения.</w:t>
      </w:r>
    </w:p>
    <w:p>
      <w:pPr>
        <w:pStyle w:val="Normal"/>
        <w:rPr>
          <w:b w:val="false"/>
          <w:bCs w:val="false"/>
          <w:sz w:val="28"/>
          <w:szCs w:val="28"/>
          <w:highlight w:val="none"/>
          <w:shd w:fill="auto" w:val="clear"/>
        </w:rPr>
      </w:pPr>
      <w:r>
        <w:rPr>
          <w:b w:val="false"/>
          <w:bCs w:val="false"/>
          <w:sz w:val="28"/>
          <w:szCs w:val="28"/>
          <w:shd w:fill="auto" w:val="clear"/>
        </w:rPr>
      </w:r>
    </w:p>
    <w:p>
      <w:pPr>
        <w:pStyle w:val="Normal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Normal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Normal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Normal"/>
        <w:rPr>
          <w:highlight w:val="none"/>
          <w:shd w:fill="auto" w:val="clear"/>
        </w:rPr>
      </w:pPr>
      <w:r>
        <w:rPr>
          <w:shd w:fill="auto" w:val="clear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ahoma">
    <w:charset w:val="01"/>
    <w:family w:val="roman"/>
    <w:pitch w:val="variable"/>
  </w:font>
  <w:font w:name="Courier New">
    <w:charset w:val="01"/>
    <w:family w:val="roman"/>
    <w:pitch w:val="variable"/>
  </w:font>
  <w:font w:name="Calibri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6624f2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ab1452"/>
    <w:pPr>
      <w:keepNext w:val="true"/>
      <w:tabs>
        <w:tab w:val="clear" w:pos="708"/>
        <w:tab w:val="left" w:pos="1070" w:leader="none"/>
      </w:tabs>
      <w:suppressAutoHyphens w:val="true"/>
      <w:ind w:hanging="360" w:left="1070"/>
      <w:jc w:val="both"/>
      <w:outlineLvl w:val="0"/>
    </w:pPr>
    <w:rPr>
      <w:sz w:val="28"/>
      <w:lang w:eastAsia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ntStyle12" w:customStyle="1">
    <w:name w:val="Font Style12"/>
    <w:basedOn w:val="DefaultParagraphFont"/>
    <w:uiPriority w:val="99"/>
    <w:qFormat/>
    <w:rsid w:val="00046175"/>
    <w:rPr>
      <w:rFonts w:ascii="Arial" w:hAnsi="Arial" w:cs="Arial"/>
      <w:sz w:val="18"/>
      <w:szCs w:val="18"/>
    </w:rPr>
  </w:style>
  <w:style w:type="character" w:styleId="1" w:customStyle="1">
    <w:name w:val="Заголовок 1 Знак"/>
    <w:basedOn w:val="DefaultParagraphFont"/>
    <w:qFormat/>
    <w:rsid w:val="00ab1452"/>
    <w:rPr>
      <w:sz w:val="28"/>
      <w:szCs w:val="24"/>
      <w:lang w:eastAsia="ar-SA"/>
    </w:rPr>
  </w:style>
  <w:style w:type="character" w:styleId="FontStyle17" w:customStyle="1">
    <w:name w:val="Font Style17"/>
    <w:basedOn w:val="DefaultParagraphFont"/>
    <w:uiPriority w:val="99"/>
    <w:qFormat/>
    <w:rsid w:val="00875fc4"/>
    <w:rPr>
      <w:rFonts w:ascii="Times New Roman" w:hAnsi="Times New Roman" w:cs="Times New Roman"/>
      <w:sz w:val="28"/>
      <w:szCs w:val="28"/>
    </w:rPr>
  </w:style>
  <w:style w:type="character" w:styleId="Style13" w:customStyle="1">
    <w:name w:val="Основной текст Знак"/>
    <w:basedOn w:val="DefaultParagraphFont"/>
    <w:qFormat/>
    <w:rsid w:val="001972a2"/>
    <w:rPr>
      <w:sz w:val="28"/>
      <w:szCs w:val="24"/>
    </w:rPr>
  </w:style>
  <w:style w:type="character" w:styleId="PageNumber">
    <w:name w:val="page number"/>
    <w:basedOn w:val="DefaultParagraphFont"/>
    <w:qFormat/>
    <w:rsid w:val="00eb217d"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 Devanagari"/>
      <w:sz w:val="28"/>
      <w:szCs w:val="28"/>
    </w:rPr>
  </w:style>
  <w:style w:type="paragraph" w:styleId="BodyText">
    <w:name w:val="Body Text"/>
    <w:basedOn w:val="Normal"/>
    <w:link w:val="Style13"/>
    <w:rsid w:val="001972a2"/>
    <w:pPr>
      <w:jc w:val="center"/>
    </w:pPr>
    <w:rPr>
      <w:sz w:val="28"/>
    </w:rPr>
  </w:style>
  <w:style w:type="paragraph" w:styleId="List">
    <w:name w:val="List"/>
    <w:basedOn w:val="BodyText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Droid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BalloonText">
    <w:name w:val="Balloon Text"/>
    <w:basedOn w:val="Normal"/>
    <w:semiHidden/>
    <w:qFormat/>
    <w:rsid w:val="002b51ba"/>
    <w:pPr/>
    <w:rPr>
      <w:rFonts w:ascii="Tahoma" w:hAnsi="Tahoma" w:cs="Tahoma"/>
      <w:sz w:val="16"/>
      <w:szCs w:val="16"/>
    </w:rPr>
  </w:style>
  <w:style w:type="paragraph" w:styleId="ConsNonformat" w:customStyle="1">
    <w:name w:val="ConsNonformat"/>
    <w:qFormat/>
    <w:rsid w:val="00046175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Arial" w:cs="Courier New"/>
      <w:color w:val="auto"/>
      <w:kern w:val="0"/>
      <w:sz w:val="20"/>
      <w:szCs w:val="20"/>
      <w:lang w:val="ru-RU" w:eastAsia="ar-SA" w:bidi="ar-SA"/>
    </w:rPr>
  </w:style>
  <w:style w:type="paragraph" w:styleId="21" w:customStyle="1">
    <w:name w:val="Основной текст с отступом 21"/>
    <w:basedOn w:val="Normal"/>
    <w:qFormat/>
    <w:rsid w:val="00c9632b"/>
    <w:pPr>
      <w:ind w:firstLine="900"/>
      <w:jc w:val="both"/>
    </w:pPr>
    <w:rPr>
      <w:lang w:eastAsia="ar-SA"/>
    </w:rPr>
  </w:style>
  <w:style w:type="paragraph" w:styleId="ListParagraph">
    <w:name w:val="List Paragraph"/>
    <w:basedOn w:val="Normal"/>
    <w:qFormat/>
    <w:rsid w:val="00a1501b"/>
    <w:pPr>
      <w:spacing w:lineRule="auto" w:line="276" w:before="0" w:after="200"/>
      <w:ind w:left="720"/>
    </w:pPr>
    <w:rPr>
      <w:rFonts w:ascii="Calibri" w:hAnsi="Calibri" w:eastAsia="Calibri"/>
      <w:sz w:val="22"/>
      <w:szCs w:val="22"/>
      <w:lang w:eastAsia="ar-SA"/>
    </w:rPr>
  </w:style>
  <w:style w:type="paragraph" w:styleId="NoSpacing">
    <w:name w:val="No Spacing"/>
    <w:uiPriority w:val="1"/>
    <w:qFormat/>
    <w:rsid w:val="001972a2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ConsPlusNormal" w:customStyle="1">
    <w:name w:val="ConsPlusNormal"/>
    <w:uiPriority w:val="99"/>
    <w:qFormat/>
    <w:rsid w:val="00ca03c2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b339f8"/>
    <w:rPr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76080-78CA-4496-9ADB-1FFB443FE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1803</TotalTime>
  <Application>LibreOffice/24.8.5.2$Linux_X86_64 LibreOffice_project/480$Build-2</Application>
  <AppVersion>15.0000</AppVersion>
  <Pages>4</Pages>
  <Words>1161</Words>
  <Characters>7555</Characters>
  <CharactersWithSpaces>8731</CharactersWithSpaces>
  <Paragraphs>47</Paragraphs>
  <Company>Work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2021-07-23T08:07:00Z</dcterms:created>
  <dc:creator>Степановна</dc:creator>
  <dc:description/>
  <dc:language>ru-RU</dc:language>
  <cp:lastModifiedBy/>
  <cp:lastPrinted>2025-10-14T08:50:25Z</cp:lastPrinted>
  <dcterms:modified xsi:type="dcterms:W3CDTF">2026-10-13T09:36:17Z</dcterms:modified>
  <cp:revision>64</cp:revision>
  <dc:subject/>
  <dc:title>Пояснительная  записка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