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                                               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Пояснительная  записка 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к прогнозу социально-экономического развития Туркменского 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муниципального округа Ставропольского края на период до 2036 года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Прогноз </w:t>
      </w:r>
      <w:r>
        <w:rPr>
          <w:sz w:val="28"/>
          <w:szCs w:val="28"/>
        </w:rPr>
        <w:t xml:space="preserve">социально-экономического развития </w:t>
      </w:r>
      <w:r>
        <w:rPr>
          <w:color w:themeColor="text1" w:val="000000"/>
          <w:sz w:val="28"/>
          <w:szCs w:val="28"/>
        </w:rPr>
        <w:t>Туркменского муниципального</w:t>
      </w:r>
      <w:r>
        <w:rPr>
          <w:sz w:val="28"/>
          <w:szCs w:val="28"/>
        </w:rPr>
        <w:t xml:space="preserve"> округа Ставропольского края на период до 2036 года (далее — Прогноз, округ) является документом стратегического планирования.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Прогноз </w:t>
      </w:r>
      <w:r>
        <w:rPr>
          <w:sz w:val="28"/>
          <w:szCs w:val="28"/>
        </w:rPr>
        <w:t>разработан отделом экономического развития и закупок администрации округа на плановый период до 2036 года на основе: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статистических отчетных данных о социально-экономическом развитии  округа за 2024 год и 6 месяцев 2025 года;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данных представленных  </w:t>
      </w:r>
      <w:r>
        <w:rPr>
          <w:rFonts w:cs="Times New Roman"/>
          <w:sz w:val="28"/>
          <w:szCs w:val="28"/>
        </w:rPr>
        <w:t>отделами, отраслевыми  (функциональными)  территориальными органами администрации округа.</w:t>
      </w:r>
    </w:p>
    <w:p>
      <w:pPr>
        <w:pStyle w:val="BodyText"/>
        <w:spacing w:lineRule="auto" w:line="240" w:before="0" w:after="0"/>
        <w:ind w:hanging="0"/>
        <w:jc w:val="both"/>
        <w:rPr>
          <w:rFonts w:eastAsia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ab/>
        <w:t xml:space="preserve">Прогноз разработан </w:t>
      </w:r>
      <w:r>
        <w:rPr>
          <w:rFonts w:cs="Times New Roman"/>
          <w:color w:val="000000"/>
          <w:sz w:val="28"/>
          <w:szCs w:val="28"/>
        </w:rPr>
        <w:t>в трех основных вариантах: консервативный, базовый и целевой. Различие основных вариантов Прогноза обусловлено отличием моделей поведения частного бизнеса, перспективами повышения его конкурентоспособности и эффективностью реализации государственной политики развития, перспективами структурного и бюджетного маневра.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Консервативный вариант Прогноза разработан на основе консервативных оценок темпов социально-экономического развития Ставропольского края и округа с учетом существенного ухудшения внешнеэкономических и иных условий.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Базовый вариант Прогноза основан на консервативных оценках темпов социально-экономического развития Ставропольского края и округа  при сохранении основных тенденций изменения эффективности использования ресурсов.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Целевой вариант Прогноза основан на достижении значений целевых показателей социально-экономического развития Ставропольского края и округа, обеспечивающих достижение целей и решение задач стратегического планирования Ставропольского края и округа. 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  <w:lang w:eastAsia="en-US"/>
        </w:rPr>
        <w:t xml:space="preserve">Прогноз сформирован в соответствии с приоритетами социально-экономического развития, определенными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 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В 2036 году прогнозируется снижение среднегодовой численности населения окру</w:t>
      </w:r>
      <w:r>
        <w:rPr>
          <w:sz w:val="28"/>
          <w:szCs w:val="28"/>
          <w:shd w:fill="auto" w:val="clear"/>
        </w:rPr>
        <w:t>га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до</w:t>
      </w:r>
      <w:r>
        <w:rPr>
          <w:spacing w:val="79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9</w:t>
      </w:r>
      <w:r>
        <w:rPr>
          <w:sz w:val="28"/>
          <w:szCs w:val="28"/>
          <w:shd w:fill="auto" w:val="clear"/>
        </w:rPr>
        <w:t>2,9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процента</w:t>
      </w:r>
      <w:r>
        <w:rPr>
          <w:spacing w:val="74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уровню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2024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года в</w:t>
      </w:r>
      <w:r>
        <w:rPr>
          <w:spacing w:val="-1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</w:t>
      </w:r>
      <w:r>
        <w:rPr>
          <w:sz w:val="28"/>
          <w:szCs w:val="28"/>
        </w:rPr>
        <w:t xml:space="preserve">езультате </w:t>
      </w:r>
      <w:r>
        <w:rPr>
          <w:sz w:val="28"/>
          <w:szCs w:val="28"/>
          <w:shd w:fill="auto" w:val="clear"/>
        </w:rPr>
        <w:t>естественной убыли, за</w:t>
      </w:r>
      <w:r>
        <w:rPr>
          <w:spacing w:val="-6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счет</w:t>
      </w:r>
      <w:r>
        <w:rPr>
          <w:spacing w:val="-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превышения общего коэффициента смертности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населения округа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над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общим</w:t>
      </w:r>
      <w:r>
        <w:rPr>
          <w:spacing w:val="8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коэффициентом</w:t>
      </w:r>
      <w:r>
        <w:rPr>
          <w:spacing w:val="-3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рождаемости</w:t>
      </w:r>
      <w:r>
        <w:rPr>
          <w:spacing w:val="78"/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населения округа</w:t>
      </w:r>
      <w:r>
        <w:rPr>
          <w:spacing w:val="7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1,</w:t>
      </w:r>
      <w:r>
        <w:rPr>
          <w:sz w:val="28"/>
          <w:szCs w:val="28"/>
          <w:shd w:fill="auto" w:val="clear"/>
        </w:rPr>
        <w:t>3</w:t>
      </w:r>
      <w:r>
        <w:rPr>
          <w:spacing w:val="40"/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человека на 1 тыс. населения округа.</w:t>
      </w:r>
    </w:p>
    <w:p>
      <w:pPr>
        <w:pStyle w:val="BodyText"/>
        <w:spacing w:lineRule="auto" w:line="240" w:before="0" w:after="0"/>
        <w:jc w:val="both"/>
        <w:rPr>
          <w:rFonts w:eastAsia="Times New Roman"/>
          <w:sz w:val="28"/>
          <w:szCs w:val="28"/>
        </w:rPr>
      </w:pPr>
      <w:r>
        <w:rPr>
          <w:spacing w:val="-6"/>
          <w:sz w:val="28"/>
          <w:szCs w:val="28"/>
        </w:rPr>
        <w:t xml:space="preserve">В </w:t>
      </w:r>
      <w:r>
        <w:rPr>
          <w:sz w:val="28"/>
          <w:szCs w:val="28"/>
        </w:rPr>
        <w:t>2036 году ожидается</w:t>
      </w:r>
      <w:r>
        <w:rPr>
          <w:sz w:val="28"/>
          <w:szCs w:val="28"/>
          <w:shd w:fill="auto" w:val="clear"/>
        </w:rPr>
        <w:t xml:space="preserve"> стабилизация общего коэффициента рождаемости населения округа в пределах 9,3 человека на 1 тыс. населения округа.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en-US"/>
        </w:rPr>
        <w:t>Положительная динамика наблюдается в</w:t>
      </w:r>
      <w:r>
        <w:rPr>
          <w:spacing w:val="-17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увеличении продолжительности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жизни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населения округа Ставропольского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края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от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75,0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лет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в</w:t>
      </w:r>
      <w:r>
        <w:rPr>
          <w:spacing w:val="8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2024</w:t>
      </w:r>
      <w:r>
        <w:rPr>
          <w:spacing w:val="80"/>
          <w:w w:val="15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 xml:space="preserve">году до 81,9 лет в 2036 году.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en-US"/>
        </w:rPr>
        <w:t>В 2036 году в</w:t>
      </w:r>
      <w:r>
        <w:rPr>
          <w:spacing w:val="-2"/>
          <w:sz w:val="28"/>
          <w:szCs w:val="28"/>
          <w:shd w:fill="auto" w:val="clear"/>
          <w:lang w:eastAsia="en-US"/>
        </w:rPr>
        <w:t xml:space="preserve"> округе </w:t>
      </w:r>
      <w:r>
        <w:rPr>
          <w:sz w:val="28"/>
          <w:szCs w:val="28"/>
          <w:shd w:fill="auto" w:val="clear"/>
          <w:lang w:eastAsia="en-US"/>
        </w:rPr>
        <w:t>по всем основным видам промышленной деятельности объем отгруженных товаров собственного производства, выполненных работ и услуг собственными силами в действующих ценах прогнозируется в сумме 1 166,4 млрд. рублей, в</w:t>
      </w:r>
      <w:r>
        <w:rPr>
          <w:spacing w:val="-2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том числе по видам эко- номической</w:t>
      </w:r>
      <w:r>
        <w:rPr>
          <w:spacing w:val="8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>деятельности:</w:t>
      </w:r>
      <w:r>
        <w:rPr>
          <w:spacing w:val="80"/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shd w:fill="auto" w:val="clear"/>
          <w:lang w:eastAsia="en-US"/>
        </w:rPr>
        <w:t xml:space="preserve">обрабатывающие производства </w:t>
      </w:r>
      <w:r>
        <w:rPr>
          <w:w w:val="90"/>
          <w:sz w:val="28"/>
          <w:szCs w:val="28"/>
          <w:shd w:fill="auto" w:val="clear"/>
          <w:lang w:eastAsia="en-US"/>
        </w:rPr>
        <w:t xml:space="preserve">— </w:t>
      </w:r>
      <w:r>
        <w:rPr>
          <w:sz w:val="28"/>
          <w:szCs w:val="28"/>
          <w:shd w:fill="auto" w:val="clear"/>
          <w:lang w:eastAsia="en-US"/>
        </w:rPr>
        <w:t xml:space="preserve">952,5 млрд. рублей; обеспечение электрической энергией, газом и паром, кондиционирование воздуха 89,5 млрд. рублей.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2036 году производство продукции сельского хозяйства во всех категориях</w:t>
      </w:r>
      <w:r>
        <w:rPr>
          <w:spacing w:val="40"/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хозяйств округа</w:t>
      </w:r>
      <w:r>
        <w:rPr>
          <w:spacing w:val="40"/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прогнозируется</w:t>
      </w:r>
      <w:r>
        <w:rPr>
          <w:spacing w:val="80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</w:t>
      </w:r>
      <w:r>
        <w:rPr>
          <w:spacing w:val="80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сумме 4</w:t>
      </w:r>
      <w:r>
        <w:rPr>
          <w:sz w:val="28"/>
          <w:szCs w:val="28"/>
          <w:shd w:fill="auto" w:val="clear"/>
        </w:rPr>
        <w:t>21,9 млр</w:t>
      </w:r>
      <w:r>
        <w:rPr>
          <w:sz w:val="28"/>
          <w:szCs w:val="28"/>
          <w:shd w:fill="auto" w:val="clear"/>
        </w:rPr>
        <w:t xml:space="preserve">д. рублей при условии привлечения дополнительных объемов инвестиций и увеличения объемов государственной поддержки инвестиционных проектов, а также роста индекса производства продукции сельского хозяйства в Ставропольском крае и незначительного снижения </w:t>
      </w:r>
      <w:r>
        <w:rPr>
          <w:spacing w:val="-2"/>
          <w:sz w:val="28"/>
          <w:szCs w:val="28"/>
          <w:shd w:fill="auto" w:val="clear"/>
        </w:rPr>
        <w:t xml:space="preserve">инфляции.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2036 году производство продукции растениеводства округа прогнозируется в сумм</w:t>
      </w:r>
      <w:r>
        <w:rPr>
          <w:sz w:val="28"/>
          <w:szCs w:val="28"/>
          <w:shd w:fill="auto" w:val="clear"/>
        </w:rPr>
        <w:t>е 296,9 м</w:t>
      </w:r>
      <w:r>
        <w:rPr>
          <w:sz w:val="28"/>
          <w:szCs w:val="28"/>
          <w:shd w:fill="auto" w:val="clear"/>
        </w:rPr>
        <w:t>лрд. рублей, производство продукции животноводства округа</w:t>
      </w:r>
      <w:r>
        <w:rPr>
          <w:spacing w:val="80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прогнозируется</w:t>
      </w:r>
      <w:r>
        <w:rPr>
          <w:spacing w:val="80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</w:t>
      </w:r>
      <w:r>
        <w:rPr>
          <w:spacing w:val="80"/>
          <w:w w:val="15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сумме</w:t>
      </w:r>
      <w:r>
        <w:rPr>
          <w:sz w:val="28"/>
          <w:szCs w:val="28"/>
          <w:shd w:fill="auto" w:val="clear"/>
        </w:rPr>
        <w:t xml:space="preserve"> 124,9 м</w:t>
      </w:r>
      <w:r>
        <w:rPr>
          <w:sz w:val="28"/>
          <w:szCs w:val="28"/>
          <w:shd w:fill="auto" w:val="clear"/>
        </w:rPr>
        <w:t xml:space="preserve">лрд. рублей.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2036 году прогнозируется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 xml:space="preserve">индекс производства продукции по отрасли сельское хозяйство в округе </w:t>
      </w:r>
      <w:r>
        <w:rPr>
          <w:w w:val="90"/>
          <w:sz w:val="28"/>
          <w:szCs w:val="28"/>
          <w:shd w:fill="auto" w:val="clear"/>
        </w:rPr>
        <w:t xml:space="preserve">— </w:t>
      </w:r>
      <w:r>
        <w:rPr>
          <w:sz w:val="28"/>
          <w:szCs w:val="28"/>
          <w:shd w:fill="auto" w:val="clear"/>
        </w:rPr>
        <w:t>102,8 процента</w:t>
      </w:r>
      <w:r>
        <w:rPr>
          <w:sz w:val="28"/>
          <w:szCs w:val="28"/>
          <w:shd w:fill="auto" w:val="clear"/>
        </w:rPr>
        <w:t>, в</w:t>
      </w:r>
      <w:r>
        <w:rPr>
          <w:spacing w:val="-2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том</w:t>
      </w:r>
      <w:r>
        <w:rPr>
          <w:spacing w:val="-2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числе по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продукции: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животноводства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w w:val="90"/>
          <w:sz w:val="28"/>
          <w:szCs w:val="28"/>
          <w:shd w:fill="auto" w:val="clear"/>
        </w:rPr>
        <w:t>—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103,2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процента,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растениеводства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w w:val="90"/>
          <w:sz w:val="28"/>
          <w:szCs w:val="28"/>
          <w:shd w:fill="auto" w:val="clear"/>
        </w:rPr>
        <w:t xml:space="preserve">— </w:t>
      </w:r>
      <w:r>
        <w:rPr>
          <w:sz w:val="28"/>
          <w:szCs w:val="28"/>
          <w:shd w:fill="auto" w:val="clear"/>
        </w:rPr>
        <w:t>102,7 п</w:t>
      </w:r>
      <w:r>
        <w:rPr>
          <w:sz w:val="28"/>
          <w:szCs w:val="28"/>
          <w:shd w:fill="auto" w:val="clear"/>
        </w:rPr>
        <w:t xml:space="preserve">роцента.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2036 году ожидается увеличение объема ввода в действие жилых домов н</w:t>
      </w:r>
      <w:r>
        <w:rPr>
          <w:sz w:val="28"/>
          <w:szCs w:val="28"/>
          <w:shd w:fill="auto" w:val="clear"/>
        </w:rPr>
        <w:t>а 1,5 раза по сравнению</w:t>
      </w:r>
      <w:r>
        <w:rPr>
          <w:spacing w:val="2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 2024 годом, что составит</w:t>
      </w:r>
      <w:r>
        <w:rPr>
          <w:spacing w:val="2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общую площадь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 xml:space="preserve">1 842,0 тыс. кв. метров.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9"/>
          <w:szCs w:val="28"/>
          <w:shd w:fill="auto" w:val="clear"/>
        </w:rPr>
        <w:t xml:space="preserve">В 2036 году в сравнении с 2024 годом за счет увеличения динамики </w:t>
      </w:r>
      <w:r>
        <w:rPr>
          <w:spacing w:val="-2"/>
          <w:sz w:val="29"/>
          <w:szCs w:val="28"/>
          <w:shd w:fill="auto" w:val="clear"/>
        </w:rPr>
        <w:t>физического товарооборота в округе</w:t>
      </w:r>
      <w:r>
        <w:rPr>
          <w:spacing w:val="-10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ожидается рост</w:t>
      </w:r>
      <w:r>
        <w:rPr>
          <w:spacing w:val="-11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оборота розничной</w:t>
      </w:r>
      <w:r>
        <w:rPr>
          <w:spacing w:val="-17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торговли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в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сопоставимых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ценах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в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2,5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раза,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оборот</w:t>
      </w:r>
      <w:r>
        <w:rPr>
          <w:spacing w:val="-17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розничной</w:t>
      </w:r>
      <w:r>
        <w:rPr>
          <w:spacing w:val="-15"/>
          <w:sz w:val="29"/>
          <w:szCs w:val="28"/>
          <w:shd w:fill="auto" w:val="clear"/>
        </w:rPr>
        <w:t xml:space="preserve"> </w:t>
      </w:r>
      <w:r>
        <w:rPr>
          <w:spacing w:val="-2"/>
          <w:sz w:val="29"/>
          <w:szCs w:val="28"/>
          <w:shd w:fill="auto" w:val="clear"/>
        </w:rPr>
        <w:t>тор</w:t>
      </w:r>
      <w:r>
        <w:rPr>
          <w:sz w:val="29"/>
          <w:szCs w:val="28"/>
          <w:shd w:fill="auto" w:val="clear"/>
        </w:rPr>
        <w:t>говли</w:t>
      </w:r>
      <w:r>
        <w:rPr>
          <w:spacing w:val="-18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в</w:t>
      </w:r>
      <w:r>
        <w:rPr>
          <w:spacing w:val="-18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сопоставимых</w:t>
      </w:r>
      <w:r>
        <w:rPr>
          <w:spacing w:val="-2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ценах</w:t>
      </w:r>
      <w:r>
        <w:rPr>
          <w:spacing w:val="-18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оценочно</w:t>
      </w:r>
      <w:r>
        <w:rPr>
          <w:spacing w:val="-16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составит</w:t>
      </w:r>
      <w:r>
        <w:rPr>
          <w:spacing w:val="-14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2</w:t>
      </w:r>
      <w:r>
        <w:rPr>
          <w:spacing w:val="-18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174,1</w:t>
      </w:r>
      <w:r>
        <w:rPr>
          <w:spacing w:val="-18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>млрд.</w:t>
      </w:r>
      <w:r>
        <w:rPr>
          <w:spacing w:val="-17"/>
          <w:sz w:val="29"/>
          <w:szCs w:val="28"/>
          <w:shd w:fill="auto" w:val="clear"/>
        </w:rPr>
        <w:t xml:space="preserve"> </w:t>
      </w:r>
      <w:r>
        <w:rPr>
          <w:sz w:val="29"/>
          <w:szCs w:val="28"/>
          <w:shd w:fill="auto" w:val="clear"/>
        </w:rPr>
        <w:t xml:space="preserve">рублей.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В</w:t>
      </w:r>
      <w:r>
        <w:rPr>
          <w:rFonts w:eastAsia="Calibri"/>
          <w:color w:themeColor="text1" w:val="000000"/>
          <w:spacing w:val="-19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2036</w:t>
      </w:r>
      <w:r>
        <w:rPr>
          <w:rFonts w:eastAsia="Calibri"/>
          <w:color w:themeColor="text1" w:val="000000"/>
          <w:spacing w:val="-18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году</w:t>
      </w:r>
      <w:r>
        <w:rPr>
          <w:rFonts w:eastAsia="Calibri"/>
          <w:color w:themeColor="text1" w:val="000000"/>
          <w:spacing w:val="-18"/>
          <w:sz w:val="29"/>
          <w:szCs w:val="28"/>
          <w:shd w:fill="auto" w:val="clear"/>
          <w:lang w:eastAsia="en-US"/>
        </w:rPr>
        <w:t xml:space="preserve"> количество</w:t>
      </w:r>
      <w:r>
        <w:rPr>
          <w:rFonts w:eastAsia="Calibri"/>
          <w:color w:themeColor="text1" w:val="000000"/>
          <w:spacing w:val="-13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малых</w:t>
      </w:r>
      <w:r>
        <w:rPr>
          <w:rFonts w:eastAsia="Calibri"/>
          <w:color w:themeColor="text1" w:val="000000"/>
          <w:spacing w:val="-11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и</w:t>
      </w:r>
      <w:r>
        <w:rPr>
          <w:rFonts w:eastAsia="Calibri"/>
          <w:color w:themeColor="text1" w:val="000000"/>
          <w:spacing w:val="-19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средних предприятий в округе</w:t>
      </w:r>
      <w:r>
        <w:rPr>
          <w:rFonts w:eastAsia="Calibri"/>
          <w:color w:themeColor="text1" w:val="000000"/>
          <w:spacing w:val="-1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составит 434,9</w:t>
      </w:r>
      <w:r>
        <w:rPr>
          <w:rFonts w:eastAsia="Calibri"/>
          <w:color w:themeColor="text1" w:val="000000"/>
          <w:spacing w:val="-19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тыс.</w:t>
      </w:r>
      <w:r>
        <w:rPr>
          <w:rFonts w:eastAsia="Calibri"/>
          <w:color w:themeColor="text1" w:val="000000"/>
          <w:spacing w:val="-2"/>
          <w:sz w:val="29"/>
          <w:szCs w:val="28"/>
          <w:shd w:fill="auto" w:val="clear"/>
          <w:lang w:eastAsia="en-US"/>
        </w:rPr>
        <w:t xml:space="preserve"> единиц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 xml:space="preserve"> или</w:t>
      </w:r>
      <w:r>
        <w:rPr>
          <w:rFonts w:eastAsia="Calibri"/>
          <w:color w:themeColor="text1" w:val="000000"/>
          <w:spacing w:val="-4"/>
          <w:sz w:val="29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9"/>
          <w:szCs w:val="28"/>
          <w:shd w:fill="auto" w:val="clear"/>
          <w:lang w:eastAsia="en-US"/>
        </w:rPr>
        <w:t>124,4 про- цента к 2024 году. Среднесписочная численность работников на предприятиях малого и среднего предпринимательства (включая микропредприятия) (без внешних совместителей) составит   411 человек.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z w:val="29"/>
          <w:shd w:fill="auto" w:val="clear"/>
        </w:rPr>
        <w:t>Объем</w:t>
      </w:r>
      <w:r>
        <w:rPr>
          <w:spacing w:val="22"/>
          <w:sz w:val="29"/>
          <w:shd w:fill="auto" w:val="clear"/>
        </w:rPr>
        <w:t xml:space="preserve">  </w:t>
      </w:r>
      <w:r>
        <w:rPr>
          <w:sz w:val="29"/>
          <w:shd w:fill="auto" w:val="clear"/>
        </w:rPr>
        <w:t>инвестиций</w:t>
      </w:r>
      <w:r>
        <w:rPr>
          <w:spacing w:val="27"/>
          <w:sz w:val="29"/>
          <w:shd w:fill="auto" w:val="clear"/>
        </w:rPr>
        <w:t xml:space="preserve">  </w:t>
      </w:r>
      <w:r>
        <w:rPr>
          <w:sz w:val="29"/>
          <w:shd w:fill="auto" w:val="clear"/>
        </w:rPr>
        <w:t>в</w:t>
      </w:r>
      <w:r>
        <w:rPr>
          <w:spacing w:val="66"/>
          <w:w w:val="150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основной</w:t>
      </w:r>
      <w:r>
        <w:rPr>
          <w:spacing w:val="26"/>
          <w:sz w:val="29"/>
          <w:shd w:fill="auto" w:val="clear"/>
        </w:rPr>
        <w:t xml:space="preserve">  </w:t>
      </w:r>
      <w:r>
        <w:rPr>
          <w:sz w:val="29"/>
          <w:shd w:fill="auto" w:val="clear"/>
        </w:rPr>
        <w:t>капитал</w:t>
      </w:r>
      <w:r>
        <w:rPr>
          <w:spacing w:val="22"/>
          <w:sz w:val="29"/>
          <w:shd w:fill="auto" w:val="clear"/>
        </w:rPr>
        <w:t xml:space="preserve">  </w:t>
      </w:r>
      <w:r>
        <w:rPr>
          <w:sz w:val="29"/>
          <w:shd w:fill="auto" w:val="clear"/>
        </w:rPr>
        <w:t>в округе в</w:t>
      </w:r>
      <w:r>
        <w:rPr>
          <w:spacing w:val="-19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2036</w:t>
      </w:r>
      <w:r>
        <w:rPr>
          <w:spacing w:val="-18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году прогнозируется на</w:t>
      </w:r>
      <w:r>
        <w:rPr>
          <w:spacing w:val="-19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уровне</w:t>
      </w:r>
      <w:r>
        <w:rPr>
          <w:sz w:val="29"/>
          <w:shd w:fill="auto" w:val="clear"/>
        </w:rPr>
        <w:t xml:space="preserve"> 1</w:t>
      </w:r>
      <w:r>
        <w:rPr>
          <w:spacing w:val="-19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825,0 м</w:t>
      </w:r>
      <w:r>
        <w:rPr>
          <w:sz w:val="29"/>
          <w:shd w:fill="auto" w:val="clear"/>
        </w:rPr>
        <w:t xml:space="preserve">лрд. рублей, что в </w:t>
      </w:r>
      <w:r>
        <w:rPr>
          <w:sz w:val="29"/>
          <w:shd w:fill="auto" w:val="clear"/>
        </w:rPr>
        <w:t>4,8 р</w:t>
      </w:r>
      <w:r>
        <w:rPr>
          <w:sz w:val="29"/>
          <w:shd w:fill="auto" w:val="clear"/>
        </w:rPr>
        <w:t xml:space="preserve">аза выше уровня 2024 года. </w:t>
      </w:r>
    </w:p>
    <w:p>
      <w:pPr>
        <w:pStyle w:val="BodyText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pacing w:val="-4"/>
          <w:sz w:val="29"/>
          <w:shd w:fill="auto" w:val="clear"/>
        </w:rPr>
        <w:t>В</w:t>
      </w:r>
      <w:r>
        <w:rPr>
          <w:spacing w:val="5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плановом</w:t>
      </w:r>
      <w:r>
        <w:rPr>
          <w:spacing w:val="15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периоде</w:t>
      </w:r>
      <w:r>
        <w:rPr>
          <w:spacing w:val="20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2025-2036</w:t>
      </w:r>
      <w:r>
        <w:rPr>
          <w:spacing w:val="20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годов</w:t>
      </w:r>
      <w:r>
        <w:rPr>
          <w:spacing w:val="10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положительное</w:t>
      </w:r>
      <w:r>
        <w:rPr>
          <w:spacing w:val="32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влияние</w:t>
      </w:r>
      <w:r>
        <w:rPr>
          <w:spacing w:val="17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на</w:t>
      </w:r>
      <w:r>
        <w:rPr>
          <w:spacing w:val="6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 xml:space="preserve">рост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sz w:val="29"/>
        </w:rPr>
      </w:pPr>
      <w:r>
        <w:rPr>
          <w:spacing w:val="-2"/>
          <w:sz w:val="29"/>
          <w:shd w:fill="auto" w:val="clear"/>
        </w:rPr>
        <w:t>экономики округа</w:t>
      </w:r>
      <w:r>
        <w:rPr>
          <w:spacing w:val="-10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и</w:t>
      </w:r>
      <w:r>
        <w:rPr>
          <w:spacing w:val="-17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увеличение объема</w:t>
      </w:r>
      <w:r>
        <w:rPr>
          <w:spacing w:val="-6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инвестиций в</w:t>
      </w:r>
      <w:r>
        <w:rPr>
          <w:spacing w:val="-17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основ</w:t>
      </w:r>
      <w:r>
        <w:rPr>
          <w:sz w:val="29"/>
          <w:shd w:fill="auto" w:val="clear"/>
        </w:rPr>
        <w:t>ной</w:t>
      </w:r>
      <w:r>
        <w:rPr>
          <w:spacing w:val="25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капитал за</w:t>
      </w:r>
      <w:r>
        <w:rPr>
          <w:spacing w:val="2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счет</w:t>
      </w:r>
      <w:r>
        <w:rPr>
          <w:spacing w:val="3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всех</w:t>
      </w:r>
      <w:r>
        <w:rPr>
          <w:spacing w:val="3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источников</w:t>
      </w:r>
      <w:r>
        <w:rPr>
          <w:spacing w:val="4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финансирования</w:t>
      </w:r>
      <w:r>
        <w:rPr>
          <w:spacing w:val="26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 округе окажут такие приоритетные направления деятельности округа как повышение экономического потенциала округа, создание благоприятного инв</w:t>
      </w:r>
      <w:r>
        <w:rPr>
          <w:sz w:val="28"/>
          <w:szCs w:val="28"/>
        </w:rPr>
        <w:t>естиционного климата для реализации инвестиционных проектов на территории округа, их административной поддержки и обеспечения беспрепятственного прохождения согласительных и разрешительных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процедур 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подготовке 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инвестиционных проектов, а также реализация следующих мероприятий в сфере инвестиционного развития округа: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обеспечение инфраструктурой действующих на территории округа инвестиционных площадок;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снижение административных барьеров и повышение инвестиционной привлекательности округа;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/>
      </w:pPr>
      <w:r>
        <w:rPr>
          <w:sz w:val="28"/>
          <w:szCs w:val="28"/>
        </w:rPr>
        <w:tab/>
        <w:t>привлечение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финансирования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корпораций</w:t>
      </w:r>
      <w:r>
        <w:rPr>
          <w:spacing w:val="4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и институтов развития</w:t>
      </w:r>
      <w:r>
        <w:rPr>
          <w:spacing w:val="-2"/>
          <w:w w:val="105"/>
          <w:sz w:val="28"/>
          <w:szCs w:val="28"/>
        </w:rPr>
        <w:t xml:space="preserve">;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/>
      </w:pPr>
      <w:r>
        <w:rPr>
          <w:spacing w:val="-2"/>
          <w:w w:val="105"/>
          <w:sz w:val="28"/>
          <w:szCs w:val="28"/>
        </w:rPr>
        <w:tab/>
      </w:r>
      <w:r>
        <w:rPr>
          <w:sz w:val="28"/>
          <w:szCs w:val="28"/>
        </w:rPr>
        <w:t>развитие механизмов муниципально-частного партнерства на терр</w:t>
      </w:r>
      <w:r>
        <w:rPr>
          <w:sz w:val="28"/>
          <w:szCs w:val="28"/>
          <w:shd w:fill="auto" w:val="clear"/>
        </w:rPr>
        <w:t xml:space="preserve">итории округа.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ab/>
        <w:t>В 2036 году о</w:t>
      </w:r>
      <w:r>
        <w:rPr>
          <w:color w:val="000000"/>
          <w:sz w:val="28"/>
          <w:szCs w:val="28"/>
          <w:shd w:fill="auto" w:val="clear"/>
        </w:rPr>
        <w:t>бщая сумма доходов консолидированного бюджета по составит 1268,8 млн. рублей или 103 процента к 2024 году.</w:t>
      </w:r>
      <w:r>
        <w:rPr>
          <w:color w:themeColor="text1"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Расходная часть бюджета округа в 2036 году будет исполнена в сумме 1232,5 млн. рублей.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ab/>
        <w:t>В 2036 году в округе о</w:t>
      </w:r>
      <w:r>
        <w:rPr>
          <w:color w:themeColor="text1" w:val="000000"/>
          <w:sz w:val="28"/>
          <w:szCs w:val="28"/>
          <w:shd w:fill="auto" w:val="clear"/>
        </w:rPr>
        <w:t>бщая численность рабочей силы составит 13,01 тыс. человек.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ab/>
      </w:r>
      <w:r>
        <w:rPr>
          <w:color w:val="000000"/>
          <w:sz w:val="28"/>
          <w:szCs w:val="28"/>
          <w:shd w:fill="auto" w:val="clear"/>
        </w:rPr>
        <w:t xml:space="preserve">В 2026-2036 годах прогнозируется дальнейшее повышение уровня и качества жизни населения округа. Увеличение доходов населения в прогнозируемом периоде будет связано с увеличением оплаты труда работающих на предприятиях округа, а также с учетом осуществления мер по повышению оплаты труда работников бюджетной сферы.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ab/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В 2036 году в сравнении с 2024 годом ожидается увеличение среднемесячной</w:t>
      </w:r>
      <w:r>
        <w:rPr>
          <w:rFonts w:eastAsia="Calibri"/>
          <w:color w:themeColor="text1" w:val="000000"/>
          <w:spacing w:val="-5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номинальной начисленной заработной платы работников организаций округа</w:t>
      </w:r>
      <w:r>
        <w:rPr>
          <w:rFonts w:eastAsia="Calibri"/>
          <w:color w:themeColor="text1" w:val="000000"/>
          <w:spacing w:val="67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в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2,1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раза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или до</w:t>
      </w:r>
      <w:r>
        <w:rPr>
          <w:rFonts w:eastAsia="Calibri"/>
          <w:color w:themeColor="text1" w:val="000000"/>
          <w:spacing w:val="-7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110,7</w:t>
      </w:r>
      <w:r>
        <w:rPr>
          <w:rFonts w:eastAsia="Calibri"/>
          <w:color w:themeColor="text1" w:val="000000"/>
          <w:spacing w:val="-7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тыс.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рублей,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при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увеличении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среднегодовой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численности</w:t>
      </w:r>
      <w:r>
        <w:rPr>
          <w:rFonts w:eastAsia="Calibri"/>
          <w:color w:themeColor="text1" w:val="000000"/>
          <w:spacing w:val="4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занятых в</w:t>
      </w:r>
      <w:r>
        <w:rPr>
          <w:rFonts w:eastAsia="Calibri"/>
          <w:color w:themeColor="text1" w:val="000000"/>
          <w:spacing w:val="-1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>экономике до 1 485,0 тыс. человек в 2036 году.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Calibri"/>
          <w:color w:themeColor="text1" w:val="000000"/>
          <w:sz w:val="28"/>
          <w:szCs w:val="28"/>
          <w:shd w:fill="auto" w:val="clear"/>
          <w:lang w:eastAsia="en-US"/>
        </w:rPr>
        <w:tab/>
        <w:t>В 2036 году ч</w:t>
      </w:r>
      <w:r>
        <w:rPr>
          <w:color w:themeColor="text1" w:val="000000"/>
          <w:sz w:val="28"/>
          <w:szCs w:val="28"/>
          <w:shd w:fill="auto" w:val="clear"/>
        </w:rPr>
        <w:t xml:space="preserve">исленность безработных округа составит 90 человек. Уровень зарегистрированной безработицы - 0,8 %.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/>
      </w:pPr>
      <w:r>
        <w:rPr>
          <w:color w:themeColor="text1" w:val="000000"/>
          <w:spacing w:val="-4"/>
          <w:sz w:val="28"/>
          <w:szCs w:val="28"/>
          <w:shd w:fill="auto" w:val="clear"/>
        </w:rPr>
        <w:tab/>
      </w:r>
      <w:r>
        <w:rPr>
          <w:spacing w:val="-4"/>
          <w:sz w:val="29"/>
          <w:shd w:fill="auto" w:val="clear"/>
        </w:rPr>
        <w:t>Достижение</w:t>
      </w:r>
      <w:r>
        <w:rPr>
          <w:spacing w:val="-15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значений</w:t>
      </w:r>
      <w:r>
        <w:rPr>
          <w:spacing w:val="-14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целевых</w:t>
      </w:r>
      <w:r>
        <w:rPr>
          <w:spacing w:val="-14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показателей</w:t>
      </w:r>
      <w:r>
        <w:rPr>
          <w:spacing w:val="-14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 xml:space="preserve">социально-экономического </w:t>
      </w:r>
      <w:r>
        <w:rPr>
          <w:sz w:val="29"/>
          <w:shd w:fill="auto" w:val="clear"/>
        </w:rPr>
        <w:t xml:space="preserve">развития округа в долгосрочной перспективе направлено </w:t>
      </w:r>
      <w:r>
        <w:rPr>
          <w:spacing w:val="-2"/>
          <w:sz w:val="29"/>
          <w:shd w:fill="auto" w:val="clear"/>
        </w:rPr>
        <w:t>на</w:t>
      </w:r>
      <w:r>
        <w:rPr>
          <w:spacing w:val="-19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преодоление</w:t>
      </w:r>
      <w:r>
        <w:rPr>
          <w:spacing w:val="-16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бедности</w:t>
      </w:r>
      <w:r>
        <w:rPr>
          <w:spacing w:val="-16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в округе,</w:t>
      </w:r>
      <w:r>
        <w:rPr>
          <w:spacing w:val="-16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>достижение</w:t>
      </w:r>
      <w:r>
        <w:rPr>
          <w:spacing w:val="-3"/>
          <w:sz w:val="29"/>
          <w:shd w:fill="auto" w:val="clear"/>
        </w:rPr>
        <w:t xml:space="preserve"> </w:t>
      </w:r>
      <w:r>
        <w:rPr>
          <w:spacing w:val="-2"/>
          <w:sz w:val="29"/>
          <w:shd w:fill="auto" w:val="clear"/>
        </w:rPr>
        <w:t xml:space="preserve">качественных </w:t>
      </w:r>
      <w:r>
        <w:rPr>
          <w:spacing w:val="-4"/>
          <w:sz w:val="29"/>
          <w:shd w:fill="auto" w:val="clear"/>
        </w:rPr>
        <w:t>изменений в</w:t>
      </w:r>
      <w:r>
        <w:rPr>
          <w:spacing w:val="-15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уровне</w:t>
      </w:r>
      <w:r>
        <w:rPr>
          <w:spacing w:val="-5"/>
          <w:sz w:val="29"/>
          <w:shd w:fill="auto" w:val="clear"/>
        </w:rPr>
        <w:t xml:space="preserve"> </w:t>
      </w:r>
      <w:r>
        <w:rPr>
          <w:spacing w:val="-4"/>
          <w:sz w:val="29"/>
          <w:shd w:fill="auto" w:val="clear"/>
        </w:rPr>
        <w:t>материального обес</w:t>
      </w:r>
      <w:r>
        <w:rPr>
          <w:spacing w:val="-4"/>
          <w:sz w:val="29"/>
        </w:rPr>
        <w:t>печения населения округа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основе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роста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производительности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труда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 округе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качества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рабочей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силы,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повышения</w:t>
      </w:r>
      <w:r>
        <w:rPr>
          <w:spacing w:val="-1"/>
          <w:sz w:val="29"/>
        </w:rPr>
        <w:t xml:space="preserve"> </w:t>
      </w:r>
      <w:r>
        <w:rPr>
          <w:spacing w:val="-2"/>
          <w:sz w:val="29"/>
        </w:rPr>
        <w:t>социальной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ответственности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бизнеса.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color w:themeColor="text1" w:val="000000"/>
          <w:spacing w:val="-2"/>
          <w:sz w:val="29"/>
          <w:szCs w:val="28"/>
          <w:shd w:fill="auto" w:val="clear"/>
        </w:rPr>
        <w:tab/>
      </w:r>
      <w:r>
        <w:rPr>
          <w:color w:themeColor="text1" w:val="000000"/>
          <w:sz w:val="29"/>
          <w:szCs w:val="28"/>
          <w:shd w:fill="auto" w:val="clear"/>
        </w:rPr>
        <w:t>Также для достижения значений целевых показателей социально- экономического развития ок</w:t>
      </w:r>
      <w:r>
        <w:rPr>
          <w:color w:themeColor="text1" w:val="000000"/>
          <w:sz w:val="29"/>
          <w:szCs w:val="28"/>
          <w:shd w:fill="auto" w:val="clear"/>
        </w:rPr>
        <w:t>руга реализуется 15 муниципальных</w:t>
      </w:r>
      <w:r>
        <w:rPr>
          <w:color w:themeColor="text1" w:val="000000"/>
          <w:spacing w:val="-12"/>
          <w:sz w:val="29"/>
          <w:szCs w:val="28"/>
          <w:shd w:fill="auto" w:val="clear"/>
        </w:rPr>
        <w:t xml:space="preserve"> </w:t>
      </w:r>
      <w:r>
        <w:rPr>
          <w:color w:themeColor="text1" w:val="000000"/>
          <w:sz w:val="29"/>
          <w:szCs w:val="28"/>
          <w:shd w:fill="auto" w:val="clear"/>
        </w:rPr>
        <w:t xml:space="preserve">программ.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i w:val="false"/>
          <w:iCs w:val="false"/>
          <w:color w:themeColor="text1" w:val="000000"/>
          <w:sz w:val="29"/>
          <w:szCs w:val="28"/>
          <w:shd w:fill="auto" w:val="clear"/>
        </w:rPr>
        <w:tab/>
      </w:r>
      <w:r>
        <w:rPr>
          <w:i w:val="false"/>
          <w:iCs w:val="false"/>
          <w:sz w:val="28"/>
          <w:szCs w:val="28"/>
        </w:rPr>
        <w:t>В результате развития основных отраслей экономики округа, а также инфраструктуры,</w:t>
      </w:r>
      <w:r>
        <w:rPr>
          <w:i w:val="false"/>
          <w:iCs w:val="false"/>
          <w:spacing w:val="-8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в</w:t>
      </w:r>
      <w:r>
        <w:rPr>
          <w:i w:val="false"/>
          <w:iCs w:val="false"/>
          <w:spacing w:val="-1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соответствии с</w:t>
      </w:r>
      <w:r>
        <w:rPr>
          <w:i w:val="false"/>
          <w:iCs w:val="false"/>
          <w:spacing w:val="-1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приоритетами социально-экономического</w:t>
      </w:r>
      <w:r>
        <w:rPr>
          <w:i w:val="false"/>
          <w:iCs w:val="false"/>
          <w:spacing w:val="-8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развития округа, определенными стратегией социально-экономического развития округа, предполагается рост объемов промышленного и сельскохозяйственного производства округа, инвестиционной деятельности в округе</w:t>
      </w:r>
      <w:r>
        <w:rPr>
          <w:i w:val="false"/>
          <w:iCs w:val="false"/>
          <w:sz w:val="28"/>
          <w:szCs w:val="28"/>
          <w:shd w:fill="auto" w:val="clear"/>
        </w:rPr>
        <w:t>, ввода в</w:t>
      </w:r>
      <w:r>
        <w:rPr>
          <w:i w:val="false"/>
          <w:iCs w:val="false"/>
          <w:spacing w:val="-9"/>
          <w:sz w:val="28"/>
          <w:szCs w:val="28"/>
          <w:shd w:fill="auto" w:val="clear"/>
        </w:rPr>
        <w:t xml:space="preserve"> </w:t>
      </w:r>
      <w:r>
        <w:rPr>
          <w:i w:val="false"/>
          <w:iCs w:val="false"/>
          <w:sz w:val="28"/>
          <w:szCs w:val="28"/>
          <w:shd w:fill="auto" w:val="clear"/>
        </w:rPr>
        <w:t xml:space="preserve">действие жилых домов в Ставропольском крае, оборота розничной торговли округа.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i w:val="false"/>
          <w:iCs w:val="false"/>
          <w:color w:themeColor="text1" w:val="000000"/>
          <w:sz w:val="28"/>
          <w:szCs w:val="28"/>
          <w:shd w:fill="auto" w:val="clear"/>
        </w:rPr>
        <w:tab/>
      </w:r>
      <w:r>
        <w:rPr>
          <w:i w:val="false"/>
          <w:iCs w:val="false"/>
          <w:color w:themeColor="text1" w:val="000000"/>
          <w:sz w:val="28"/>
          <w:szCs w:val="28"/>
          <w:shd w:fill="auto" w:val="clear"/>
        </w:rPr>
        <w:t>Продолжится увеличение среднемесячной номинальной начисленной заработной платы работников организаций по округу, а также обеспечение технологической независимости и продовольственной безопасности, и улучшения экологического</w:t>
      </w:r>
      <w:r>
        <w:rPr>
          <w:i w:val="false"/>
          <w:iCs w:val="false"/>
          <w:color w:themeColor="text1" w:val="000000"/>
          <w:spacing w:val="-1"/>
          <w:sz w:val="28"/>
          <w:szCs w:val="28"/>
          <w:shd w:fill="auto" w:val="clear"/>
        </w:rPr>
        <w:t xml:space="preserve"> </w:t>
      </w:r>
      <w:r>
        <w:rPr>
          <w:i w:val="false"/>
          <w:iCs w:val="false"/>
          <w:color w:themeColor="text1" w:val="000000"/>
          <w:sz w:val="28"/>
          <w:szCs w:val="28"/>
          <w:shd w:fill="auto" w:val="clear"/>
        </w:rPr>
        <w:t>благополучия на территории округа.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color w:themeColor="text1" w:val="000000"/>
          <w:sz w:val="28"/>
          <w:szCs w:val="28"/>
          <w:highlight w:val="none"/>
          <w:shd w:fill="FFFF00" w:val="clear"/>
        </w:rPr>
      </w:pPr>
      <w:r>
        <w:rPr>
          <w:color w:themeColor="text1" w:val="000000"/>
          <w:sz w:val="28"/>
          <w:szCs w:val="28"/>
          <w:shd w:fill="FFFF00" w:val="clear"/>
        </w:rPr>
      </w:r>
    </w:p>
    <w:p>
      <w:pPr>
        <w:pStyle w:val="aj"/>
        <w:shd w:val="clear" w:color="auto" w:fill="FFFFFF"/>
        <w:spacing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auto"/>
    <w:pitch w:val="variable"/>
  </w:font>
  <w:font w:name="Courier New">
    <w:charset w:val="01"/>
    <w:family w:val="auto"/>
    <w:pitch w:val="variable"/>
  </w:font>
  <w:font w:name="Calibr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tabs>
        <w:tab w:val="clear" w:pos="708"/>
        <w:tab w:val="left" w:pos="1070" w:leader="none"/>
      </w:tabs>
      <w:ind w:hanging="360" w:left="1070"/>
      <w:jc w:val="both"/>
      <w:outlineLvl w:val="0"/>
    </w:pPr>
    <w:rPr>
      <w:sz w:val="28"/>
      <w:lang w:eastAsia="ar-SA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uiPriority w:val="99"/>
    <w:qFormat/>
    <w:rPr>
      <w:rFonts w:ascii="Arial" w:hAnsi="Arial" w:cs="Arial"/>
      <w:sz w:val="18"/>
      <w:szCs w:val="18"/>
    </w:rPr>
  </w:style>
  <w:style w:type="character" w:styleId="1" w:customStyle="1">
    <w:name w:val="Заголовок 1 Знак"/>
    <w:basedOn w:val="DefaultParagraphFont"/>
    <w:qFormat/>
    <w:rPr>
      <w:sz w:val="28"/>
      <w:szCs w:val="24"/>
      <w:lang w:eastAsia="ar-SA"/>
    </w:rPr>
  </w:style>
  <w:style w:type="character" w:styleId="FontStyle17" w:customStyle="1">
    <w:name w:val="Font Style17"/>
    <w:basedOn w:val="DefaultParagraphFont"/>
    <w:uiPriority w:val="99"/>
    <w:qFormat/>
    <w:rPr>
      <w:rFonts w:ascii="Times New Roman" w:hAnsi="Times New Roman" w:cs="Times New Roman"/>
      <w:sz w:val="28"/>
      <w:szCs w:val="28"/>
    </w:rPr>
  </w:style>
  <w:style w:type="character" w:styleId="Style7" w:customStyle="1">
    <w:name w:val="Основной текст Знак"/>
    <w:basedOn w:val="DefaultParagraphFont"/>
    <w:uiPriority w:val="99"/>
    <w:qFormat/>
    <w:rPr>
      <w:rFonts w:eastAsia="Calibri"/>
      <w:sz w:val="24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uiPriority w:val="99"/>
    <w:pPr>
      <w:spacing w:lineRule="exact" w:line="360" w:before="120" w:after="120"/>
      <w:ind w:firstLine="709"/>
    </w:pPr>
    <w:rPr>
      <w:rFonts w:eastAsia="Calibri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ar-SA" w:bidi="ar-SA"/>
    </w:rPr>
  </w:style>
  <w:style w:type="paragraph" w:styleId="21" w:customStyle="1">
    <w:name w:val="Основной текст с отступом 21"/>
    <w:basedOn w:val="Normal"/>
    <w:qFormat/>
    <w:pPr>
      <w:ind w:firstLine="900"/>
      <w:jc w:val="both"/>
    </w:pPr>
    <w:rPr>
      <w:lang w:eastAsia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</w:pPr>
    <w:rPr>
      <w:rFonts w:ascii="Calibri" w:hAnsi="Calibri" w:eastAsia="Calibri"/>
      <w:sz w:val="22"/>
      <w:szCs w:val="22"/>
      <w:lang w:eastAsia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Noto Sans"/>
      <w:color w:val="auto"/>
      <w:kern w:val="0"/>
      <w:sz w:val="28"/>
      <w:szCs w:val="28"/>
      <w:lang w:val="ru-RU" w:eastAsia="en-US" w:bidi="ar-SA"/>
    </w:rPr>
  </w:style>
  <w:style w:type="paragraph" w:styleId="aj" w:customStyle="1">
    <w:name w:val="_aj"/>
    <w:basedOn w:val="Normal"/>
    <w:qFormat/>
    <w:pPr>
      <w:spacing w:beforeAutospacing="1" w:afterAutospacing="1"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Style10">
    <w:name w:val="Содержимое врезки"/>
    <w:basedOn w:val="Normal"/>
    <w:qFormat/>
    <w:pPr/>
    <w:rPr/>
  </w:style>
  <w:style w:type="numbering" w:styleId="Style11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F514-FF9B-4AF2-A4D4-E1D804E1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LibreOffice/24.8.5.2$Linux_X86_64 LibreOffice_project/480$Build-2</Application>
  <AppVersion>15.0000</AppVersion>
  <Pages>4</Pages>
  <Words>961</Words>
  <Characters>6832</Characters>
  <CharactersWithSpaces>7864</CharactersWithSpaces>
  <Paragraphs>40</Paragraphs>
  <Company>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2010-07-14T12:07:00Z</dcterms:created>
  <dc:creator>Степановна</dc:creator>
  <dc:description/>
  <dc:language>ru-RU</dc:language>
  <cp:lastModifiedBy/>
  <cp:lastPrinted>2025-07-22T14:58:55Z</cp:lastPrinted>
  <dcterms:modified xsi:type="dcterms:W3CDTF">2025-07-22T14:59:03Z</dcterms:modified>
  <cp:revision>189</cp:revision>
  <dc:subject/>
  <dc:title>Пояснительная  записка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