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МОНИТОРИНГ ДЕЯТЕЛЬНОСТИ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субъектов малого и среднего предпринимательства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 202</w:t>
      </w:r>
      <w:r>
        <w:rPr>
          <w:rFonts w:cs="Times New Roman" w:ascii="Times New Roman" w:hAnsi="Times New Roman"/>
          <w:b/>
          <w:sz w:val="28"/>
          <w:szCs w:val="28"/>
        </w:rPr>
        <w:t>4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Поддержка субъектов малого и среднего предпринимательства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ab/>
      </w:r>
      <w:r>
        <w:rPr>
          <w:rFonts w:cs="Times New Roman" w:ascii="Times New Roman" w:hAnsi="Times New Roman"/>
          <w:sz w:val="28"/>
          <w:szCs w:val="28"/>
          <w:shd w:fill="FFFFFF" w:val="clear"/>
          <w:lang w:eastAsia="ru-RU"/>
        </w:rPr>
        <w:t xml:space="preserve">Важную роль в социально-экономическом развитии округа играет малый бизнес. Развитие этого сектора экономики обеспечивает не только рост производства, но и создание новых рабочих мест и повышение благосостояния населения округа.  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 данным Ставропольстата по состоянию на 01 января 2025 года на территории округа заре</w:t>
        <w:softHyphen/>
        <w:t>гистрировано  464 индивидуальных предпринимателя (2023 год - 444) и 406 глав КФХ.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Количество организаций в округе 116, из них  ко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личество малых и средних предприятий, включенных в ЕРМСП -  (с учетом микропредприятий) составляет 16 единиц, (2023 г. – 15), из них: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 xml:space="preserve">11 - микропредприятия, 2 - малые предприятия, 3 - средние предприятия. Коммерческих организаций, не включенных в ЕРМСП — 6 ед. Некоммерческих организаций — 94 ед. 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ab/>
        <w:t>Доля налоговых поступлений в бюджет Туркменского муниципального округа от деятельности субъектов малого и среднего предпринимательства от общего объема налоговых поступлений в доходную часть бюджета ТМО СК по состоянию на 01 января 2025 года составила 24,08%.</w:t>
        <w:tab/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В целях формирования благоприятного предпринимательского климата реализуется комплекс мер, направленных на поддержку и развитие субъектов малого и среднего предпринимательства.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Государственной поддержкой в 2024 году через Фонд микрофинансирования воспользовал</w:t>
      </w: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  <w:lang w:eastAsia="ru-RU"/>
        </w:rPr>
        <w:t xml:space="preserve">ся 8 субъектов предпринимательства. Общая сумма поддержки составила 12,00 млн. рублей.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  <w:lang w:eastAsia="ru-RU"/>
        </w:rPr>
        <w:t xml:space="preserve"> Гарантийный Фонд выступил гарантом (поручителем) для получения государственной поддержки 2 субъектам МСП на сумму 20,0 млн. рублей.</w:t>
      </w:r>
    </w:p>
    <w:p>
      <w:pPr>
        <w:pStyle w:val="Normal"/>
        <w:spacing w:lineRule="atLeast" w:line="200"/>
        <w:jc w:val="both"/>
        <w:rPr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  <w:lang w:eastAsia="ru-RU"/>
        </w:rPr>
        <w:tab/>
        <w:t>Количество граждан, желающих вести бизнес, начинающих и действующих предпринимателей, получивших услуги центра «Мой бизнес» за 2024 год - 38 человек.</w:t>
      </w:r>
    </w:p>
    <w:p>
      <w:pPr>
        <w:pStyle w:val="Normal"/>
        <w:spacing w:lineRule="atLeast" w:line="200"/>
        <w:jc w:val="both"/>
        <w:rPr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  <w:lang w:eastAsia="ru-RU"/>
        </w:rPr>
        <w:tab/>
        <w:t>С помощью выплаты по социальному контракту 26 человек в округе открыли деятельность, зарегистрировавшись, как индивидуальный предприниматель или самозанятый (предоставление услуг парикмахерскими, услуги по перманентному макияжу, услуги по созданию букетов, приготовлению мясных и колбасных изделий и др.).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Информационная поддержка субъектов малого и среднего предпринимательства осуществляется в виде предоставления актуальной информации на официальном сайте администрации Туркменского муниципального округа и в информационных ресурсах: 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Telegram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, 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WhatsApp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 и смс сообщений.</w:t>
      </w:r>
    </w:p>
    <w:p>
      <w:pPr>
        <w:pStyle w:val="Normal"/>
        <w:spacing w:lineRule="atLeast" w:line="200"/>
        <w:jc w:val="both"/>
        <w:rPr/>
      </w:pPr>
      <w:r>
        <w:rPr>
          <w:shd w:fill="FFFFFF" w:val="clear"/>
        </w:rPr>
        <w:tab/>
      </w:r>
      <w:r>
        <w:rPr>
          <w:rFonts w:ascii="Times New Roman" w:hAnsi="Times New Roman"/>
          <w:sz w:val="28"/>
          <w:szCs w:val="28"/>
          <w:shd w:fill="auto" w:val="clear"/>
        </w:rPr>
        <w:t>Финансовая поддержка субъектов малого и среднего предприни</w:t>
        <w:softHyphen/>
        <w:t>мательства осуществляется в рамках подпрограммы «Улучшение инвестици</w:t>
        <w:softHyphen/>
        <w:t>онного климата, развитие малого и среднего предпринимательства и потребительского рынка»  муниципальной программы Туркменского муниципального округа Ставропольского края «Экономическое развитие и улучшение инвестиционного климата». В программе предусмотрены средства бюджета Туркмен</w:t>
        <w:softHyphen/>
        <w:t xml:space="preserve">ского муниципального округа в сумме 220 тыс. рублей. При проведении конкурса в 2024 году не было подано заявок, в связи с чем конкурс признан несостоявшимся. </w:t>
      </w:r>
    </w:p>
    <w:p>
      <w:pPr>
        <w:pStyle w:val="Normal"/>
        <w:spacing w:lineRule="auto" w:line="240" w:before="0" w:after="0"/>
        <w:ind w:firstLine="567" w:right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Малым бизнесом так же осуществляется реализация небольших инвестиционных проектов таких как, строительство, реконструкция торговых объектов, предприятий общественного питания и автосервиса, открытие пунктов выдачи товаров.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  <w:t>В целях активизации работы за истекший период 2024 года по взаимодействию администрации округа с субъектами предпринимательства проведено: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  <w:t>- 4 заседания координационного совета по развитию малого и среднего предпринимательства в Туркменском муниципальном округе Ставропольского края;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  <w:t>- 4 заседания координационного совета по развитию инвестиционной деятельности и конкуренции на территории Туркменского муниципального округа Ставропольского края.</w:t>
      </w:r>
    </w:p>
    <w:p>
      <w:pPr>
        <w:pStyle w:val="Normal"/>
        <w:spacing w:lineRule="atLeast" w:line="200"/>
        <w:ind w:firstLine="708" w:right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Специалистами администрации оказана консультационная поддержка 10 субъектам МСП и 5 самозанятым.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В рамках оказания имущественной поддержки субъектам предпринимательства округа утвержден перечень му</w:t>
        <w:softHyphen/>
        <w:t>ниципаль</w:t>
        <w:softHyphen/>
        <w:t>ного имущества,</w:t>
      </w:r>
      <w:r>
        <w:rPr>
          <w:rFonts w:ascii="Times New Roman" w:hAnsi="Times New Roman"/>
          <w:i w:val="false"/>
          <w:iCs w:val="false"/>
          <w:color w:val="000000"/>
          <w:spacing w:val="2"/>
          <w:sz w:val="28"/>
          <w:szCs w:val="28"/>
          <w:shd w:fill="auto" w:val="clear"/>
        </w:rPr>
        <w:t xml:space="preserve"> свободного от прав третьих лиц, предназначенного для пре</w:t>
        <w:softHyphen/>
        <w:t>доставления во владение и (или) в пользование на долгосрочной ос</w:t>
        <w:softHyphen/>
        <w:t>нове (в том числе по льготным ставкам арендной платы) субъектам малого и среднего предпринимательства, организациям, физическим лицам, не являю</w:t>
        <w:softHyphen/>
        <w:t>щимся ин</w:t>
        <w:softHyphen/>
        <w:t>дивидуальными предпринимателями и применяющих специальный налоговый режим «Налог на профессиональный доход», образующим инфра</w:t>
        <w:softHyphen/>
        <w:t xml:space="preserve">структуру поддержки субъектов малого и среднего предпринимательства. В перечень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включены 15 объектов муниципального имущества, в том числе 10 земельных участков.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ru-RU"/>
        </w:rPr>
        <w:t>В округе продолжается реализация инвестиционных проектов с участием субъектов малого предпринимательства. На территории муниципального округа реализовались проекты:</w:t>
      </w:r>
      <w:r>
        <w:rPr>
          <w:rFonts w:cs="Times New Roman" w:ascii="Times New Roman" w:hAnsi="Times New Roman"/>
          <w:bCs/>
          <w:sz w:val="28"/>
          <w:szCs w:val="28"/>
          <w:shd w:fill="auto" w:val="clear"/>
          <w:lang w:eastAsia="ru-RU"/>
        </w:rPr>
        <w:t xml:space="preserve"> открытие шести магазинов в с. Летняя Ставка, открытие кафе и бара в с. Летняя Ставка, открытие пунктов выдачи товаров </w:t>
      </w:r>
      <w:r>
        <w:rPr>
          <w:rFonts w:cs="Times New Roman" w:ascii="Times New Roman" w:hAnsi="Times New Roman"/>
          <w:bCs/>
          <w:sz w:val="28"/>
          <w:szCs w:val="28"/>
          <w:shd w:fill="auto" w:val="clear"/>
          <w:lang w:val="en-US" w:eastAsia="ru-RU"/>
        </w:rPr>
        <w:t>Wildberries</w:t>
      </w:r>
      <w:r>
        <w:rPr>
          <w:rFonts w:cs="Times New Roman" w:ascii="Times New Roman" w:hAnsi="Times New Roman"/>
          <w:bCs/>
          <w:sz w:val="28"/>
          <w:szCs w:val="28"/>
          <w:shd w:fill="auto" w:val="clear"/>
          <w:lang w:eastAsia="ru-RU"/>
        </w:rPr>
        <w:t xml:space="preserve"> и OZON и др.</w:t>
      </w:r>
    </w:p>
    <w:p>
      <w:pPr>
        <w:pStyle w:val="Normal"/>
        <w:spacing w:lineRule="atLeast" w:line="200"/>
        <w:jc w:val="both"/>
        <w:rPr>
          <w:rFonts w:cs="Times New Roman"/>
          <w:bCs/>
          <w:lang w:eastAsia="ru-RU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Потребительский рынок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spacing w:before="0" w:after="0"/>
        <w:jc w:val="both"/>
        <w:rPr/>
      </w:pPr>
      <w:r>
        <w:rPr>
          <w:rStyle w:val="Strong"/>
          <w:rFonts w:ascii="Times New Roman" w:hAnsi="Times New Roman"/>
          <w:b w:val="false"/>
          <w:sz w:val="28"/>
          <w:szCs w:val="28"/>
        </w:rPr>
        <w:tab/>
      </w:r>
      <w:r>
        <w:rPr>
          <w:rStyle w:val="Strong"/>
          <w:rFonts w:ascii="Times New Roman" w:hAnsi="Times New Roman"/>
          <w:b w:val="false"/>
          <w:sz w:val="28"/>
          <w:szCs w:val="28"/>
          <w:shd w:fill="FFFFFF" w:val="clear"/>
        </w:rPr>
        <w:t xml:space="preserve">Потребительский рынок округа представлен сферами розничной торговли, общественного питания и оказания платных и бытовых услуг населению. 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        </w:t>
      </w:r>
      <w:r>
        <w:rPr>
          <w:rFonts w:ascii="Times New Roman" w:hAnsi="Times New Roman"/>
          <w:sz w:val="28"/>
          <w:szCs w:val="28"/>
          <w:shd w:fill="FFFFFF" w:val="clear"/>
        </w:rPr>
        <w:t>С</w:t>
      </w: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</w:rPr>
        <w:t>еть предприятий розничной торговли соста</w:t>
        <w:softHyphen/>
        <w:t>вляет 139 единиц с торговой площадью более 11000 м</w:t>
      </w: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  <w:vertAlign w:val="superscript"/>
        </w:rPr>
        <w:t>2</w:t>
      </w: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</w:rPr>
        <w:t>.</w:t>
      </w:r>
      <w:r>
        <w:rPr>
          <w:rFonts w:ascii="Times New Roman" w:hAnsi="Times New Roman"/>
          <w:i w:val="false"/>
          <w:iCs w:val="false"/>
          <w:sz w:val="28"/>
          <w:szCs w:val="28"/>
          <w:shd w:fill="auto" w:val="clear"/>
        </w:rPr>
        <w:t>, 15</w:t>
      </w:r>
      <w:r>
        <w:rPr>
          <w:rFonts w:cs="Times New Roman" w:ascii="Times New Roman" w:hAnsi="Times New Roman"/>
          <w:i w:val="false"/>
          <w:iCs w:val="false"/>
          <w:sz w:val="28"/>
          <w:szCs w:val="28"/>
          <w:shd w:fill="auto" w:val="clear"/>
        </w:rPr>
        <w:t xml:space="preserve"> апт</w:t>
      </w:r>
      <w:r>
        <w:rPr>
          <w:rFonts w:cs="Times New Roman" w:ascii="Times New Roman" w:hAnsi="Times New Roman"/>
          <w:i w:val="false"/>
          <w:iCs w:val="false"/>
          <w:sz w:val="28"/>
          <w:szCs w:val="28"/>
          <w:shd w:fill="FFFFFF" w:val="clear"/>
        </w:rPr>
        <w:t xml:space="preserve">ек и аптечных пунктов (3 филиала ГУП СК «Ставропольфармация», 1- </w:t>
      </w:r>
      <w:r>
        <w:rPr>
          <w:rFonts w:cs="Times New Roman"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</w:rPr>
        <w:t>Г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БУЗ Ставропольского края «Туркменская районная больница», 3</w:t>
      </w:r>
      <w:r>
        <w:rPr>
          <w:rFonts w:cs="Times New Roman" w:ascii="Times New Roman" w:hAnsi="Times New Roman"/>
          <w:i w:val="false"/>
          <w:iCs w:val="false"/>
          <w:sz w:val="28"/>
          <w:szCs w:val="28"/>
          <w:shd w:fill="FFFFFF" w:val="clear"/>
        </w:rPr>
        <w:t xml:space="preserve"> сетевых аптеки и 8 аптечных пунктов индивидуальных предпри</w:t>
        <w:softHyphen/>
        <w:t>нимателей).</w:t>
      </w: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</w:rPr>
        <w:t xml:space="preserve"> 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</w:rPr>
        <w:tab/>
        <w:t>В округе 12 п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унктов выдачи заказов (ПВЗ)  с маркетплейсов.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ab/>
        <w:t>Оборот розничной торговли крупных и средн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их предприятий всех видов экономической деятельности, согласно данных статистики по обследуемым видам экономической деятельности,</w:t>
      </w:r>
      <w:r>
        <w:rPr>
          <w:rFonts w:ascii="Times New Roman" w:hAnsi="Times New Roman"/>
          <w:i w:val="false"/>
          <w:iCs w:val="false"/>
          <w:sz w:val="28"/>
          <w:szCs w:val="28"/>
          <w:shd w:fill="auto" w:val="clear"/>
        </w:rPr>
        <w:t xml:space="preserve"> сложился в сумме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3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51,78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 xml:space="preserve"> млн. рублей, что в сопоставимых ценах на 2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 xml:space="preserve">3,6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% больше, чем в 2023 году (2023 год - 351,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78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 xml:space="preserve"> млн. руб).  В расчете на одного жите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>ля округа приобретено товаров на сумм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у 1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9853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 xml:space="preserve"> р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>ублей, (2023 г. -15970 рублей). Основная доля в обороте розничной торговли приходится на с. Летняя Ставка, что является следствием расположения крупных розничных торговы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 xml:space="preserve">х объектов округа. 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ab/>
        <w:t>На 01 января 2025 года в округе функционирует 12 объектов обще</w:t>
        <w:softHyphen/>
        <w:t>ственного питания на 550 посадочных мест. Оценочно оборот общественного питания по округу составил 6,54 млн. рублей, что составляет 103,0 % к уровню прошлого года.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FFFFFF" w:val="clear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ab/>
        <w:t>Число площадок для проведения «Ярмарок одного дня» - 10, число торговых мест на ярмарках — 175.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/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ab/>
      </w:r>
      <w:r>
        <w:rPr>
          <w:rStyle w:val="Strong"/>
          <w:rFonts w:ascii="Times New Roman" w:hAnsi="Times New Roman"/>
          <w:b w:val="false"/>
          <w:i w:val="false"/>
          <w:iCs w:val="false"/>
          <w:color w:val="000000"/>
          <w:sz w:val="28"/>
          <w:szCs w:val="28"/>
          <w:shd w:fill="FFFFFF" w:val="clear"/>
        </w:rPr>
        <w:t xml:space="preserve">Сфера платных услуг населению представлена следующими видами бытовых услуг: техническое обслуживание и ремонт автотранспортных средств, деятельность в области фотографии, ремонт электронной бытовой техники, ремонт обуви и прочих изделий из кожи, ремонт часов и ювелирных изделий, ремонт одежды, предоставление услуг парикмахерскими и салонами красоты. Вместе с тем основные виды бытовых услуг оказываются предпринимателями округа в с. Летняя Ставка.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>В сфере услуг работает более 40 человек.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FFFFFF" w:val="clear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ab/>
        <w:t>(Справочно: по данным Ставропольстата, количество розничных объектов торговли и общественного питания — 115 единиц, павильонов — 23,  аптеки и аптечные магазины — 10, аптечные киоски и пункты — 5, заку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сочные — 2, столовые, находящиеся на балансе образовательных организаций — 17, кафе, бары — 11).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ab/>
        <w:t>Деятельность по производству хлеба и хлебобулочных изделий осуществляет 2 сельхозтоваропроизводителя, общий объем за 9 месяцев составил 132,7 тонн. Производство муки осуществляется для собственных нужд СПК «Владимировский», за 9 месяцев объем составил 34,2 тонн.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spacing w:before="0" w:after="0"/>
        <w:jc w:val="both"/>
        <w:rPr/>
      </w:pPr>
      <w:r>
        <w:rPr>
          <w:rStyle w:val="Strong"/>
          <w:rFonts w:ascii="Times New Roman" w:hAnsi="Times New Roman"/>
          <w:b w:val="false"/>
          <w:i w:val="false"/>
          <w:iCs w:val="false"/>
          <w:color w:val="000000"/>
          <w:sz w:val="28"/>
          <w:szCs w:val="28"/>
          <w:shd w:fill="auto" w:val="clear"/>
        </w:rPr>
        <w:tab/>
        <w:t>Производством молока и сливочного масла на территории округа занимаются два производителя (главы КФХ), за 9 месяцев 2024 года объем производства составил 337,5 тонн молока, масла сливочного - 18,3 тонн.</w:t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urier New CYR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d4030"/>
    <w:pPr>
      <w:widowControl/>
      <w:suppressAutoHyphens w:val="true"/>
      <w:bidi w:val="0"/>
      <w:spacing w:lineRule="auto" w:line="240" w:before="0" w:after="0"/>
      <w:jc w:val="left"/>
    </w:pPr>
    <w:rPr>
      <w:rFonts w:ascii="Courier New CYR" w:hAnsi="Courier New CYR" w:eastAsia="Calibri" w:cs="Courier New CYR" w:eastAsiaTheme="minorHAnsi"/>
      <w:color w:val="auto"/>
      <w:kern w:val="0"/>
      <w:sz w:val="18"/>
      <w:szCs w:val="1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SpacingChar" w:customStyle="1">
    <w:name w:val="No Spacing Char"/>
    <w:link w:val="NoSpacing1"/>
    <w:qFormat/>
    <w:locked/>
    <w:rsid w:val="006d4030"/>
    <w:rPr>
      <w:rFonts w:ascii="Calibri" w:hAnsi="Calibri" w:eastAsia="Times New Roman" w:cs="Times New Roman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qFormat/>
    <w:rsid w:val="006d4030"/>
    <w:rPr>
      <w:rFonts w:ascii="Calibri" w:hAnsi="Calibri" w:eastAsia="Calibri" w:cs="Calibri"/>
      <w:lang w:eastAsia="ru-RU"/>
    </w:rPr>
  </w:style>
  <w:style w:type="character" w:styleId="Style14" w:customStyle="1">
    <w:name w:val="Без интервала Знак"/>
    <w:basedOn w:val="DefaultParagraphFont"/>
    <w:link w:val="NoSpacing"/>
    <w:uiPriority w:val="1"/>
    <w:qFormat/>
    <w:locked/>
    <w:rsid w:val="006d4030"/>
    <w:rPr>
      <w:rFonts w:ascii="Times New Roman" w:hAnsi="Times New Roman" w:eastAsia="Times New Roman" w:cs="Times New Roman"/>
      <w:sz w:val="28"/>
      <w:szCs w:val="28"/>
    </w:rPr>
  </w:style>
  <w:style w:type="character" w:styleId="apple-converted-space" w:customStyle="1">
    <w:name w:val="apple-converted-space"/>
    <w:basedOn w:val="DefaultParagraphFont"/>
    <w:qFormat/>
    <w:rsid w:val="006e2e8d"/>
    <w:rPr/>
  </w:style>
  <w:style w:type="character" w:styleId="Style15" w:customStyle="1">
    <w:name w:val="Основной текст Знак"/>
    <w:basedOn w:val="DefaultParagraphFont"/>
    <w:uiPriority w:val="99"/>
    <w:semiHidden/>
    <w:qFormat/>
    <w:rsid w:val="009b73d1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6" w:customStyle="1">
    <w:name w:val="Красная строка Знак"/>
    <w:basedOn w:val="Style15"/>
    <w:uiPriority w:val="99"/>
    <w:semiHidden/>
    <w:qFormat/>
    <w:rsid w:val="009b73d1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semiHidden/>
    <w:qFormat/>
    <w:rsid w:val="000b0523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8" w:customStyle="1">
    <w:name w:val="Нижний колонтитул Знак"/>
    <w:basedOn w:val="DefaultParagraphFont"/>
    <w:uiPriority w:val="99"/>
    <w:semiHidden/>
    <w:qFormat/>
    <w:rsid w:val="000b0523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extended-textshort" w:customStyle="1">
    <w:name w:val="extended-text__short"/>
    <w:basedOn w:val="DefaultParagraphFont"/>
    <w:qFormat/>
    <w:rsid w:val="00aa1bb7"/>
    <w:rPr/>
  </w:style>
  <w:style w:type="character" w:styleId="5">
    <w:name w:val="Основной шрифт абзаца5"/>
    <w:qFormat/>
    <w:rPr/>
  </w:style>
  <w:style w:type="character" w:styleId="Strong">
    <w:name w:val="Strong"/>
    <w:basedOn w:val="5"/>
    <w:qFormat/>
    <w:rPr>
      <w:b/>
      <w:b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semiHidden/>
    <w:unhideWhenUsed/>
    <w:rsid w:val="009b73d1"/>
    <w:pPr>
      <w:spacing w:before="0" w:after="12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Droid Sans Devanagari"/>
    </w:rPr>
  </w:style>
  <w:style w:type="paragraph" w:styleId="NoSpacing1" w:customStyle="1">
    <w:name w:val="No Spacing1"/>
    <w:link w:val="NoSpacingChar"/>
    <w:qFormat/>
    <w:rsid w:val="006d403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BodyTextIndent2">
    <w:name w:val="Body Text Indent 2"/>
    <w:basedOn w:val="Normal"/>
    <w:link w:val="2"/>
    <w:uiPriority w:val="99"/>
    <w:qFormat/>
    <w:rsid w:val="006d4030"/>
    <w:pPr>
      <w:spacing w:lineRule="auto" w:line="480" w:before="0" w:after="120"/>
      <w:ind w:left="283"/>
    </w:pPr>
    <w:rPr>
      <w:rFonts w:ascii="Calibri" w:hAnsi="Calibri" w:cs="Calibri"/>
      <w:sz w:val="22"/>
      <w:szCs w:val="22"/>
    </w:rPr>
  </w:style>
  <w:style w:type="paragraph" w:styleId="NoSpacing">
    <w:name w:val="No Spacing"/>
    <w:link w:val="Style14"/>
    <w:uiPriority w:val="1"/>
    <w:qFormat/>
    <w:rsid w:val="006d403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en-US" w:bidi="ar-SA"/>
    </w:rPr>
  </w:style>
  <w:style w:type="paragraph" w:styleId="ConsPlusNormal" w:customStyle="1">
    <w:name w:val="ConsPlusNormal"/>
    <w:qFormat/>
    <w:rsid w:val="009b73d1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BodyTextFirstIndent">
    <w:name w:val="Body Text First Indent"/>
    <w:basedOn w:val="BodyText"/>
    <w:link w:val="Style16"/>
    <w:uiPriority w:val="99"/>
    <w:semiHidden/>
    <w:unhideWhenUsed/>
    <w:rsid w:val="009b73d1"/>
    <w:pPr>
      <w:spacing w:before="0" w:after="0"/>
      <w:ind w:firstLine="360"/>
    </w:pPr>
    <w:rPr/>
  </w:style>
  <w:style w:type="paragraph" w:styleId="NormalWeb">
    <w:name w:val="Normal (Web)"/>
    <w:basedOn w:val="Normal"/>
    <w:uiPriority w:val="99"/>
    <w:unhideWhenUsed/>
    <w:qFormat/>
    <w:rsid w:val="00ca0e83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" w:customStyle="1">
    <w:name w:val="Без интервала1"/>
    <w:qFormat/>
    <w:rsid w:val="00f87c4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2"/>
      <w:lang w:val="ru-RU" w:eastAsia="en-US" w:bidi="ar-SA"/>
    </w:rPr>
  </w:style>
  <w:style w:type="paragraph" w:styleId="Style2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7"/>
    <w:uiPriority w:val="99"/>
    <w:semiHidden/>
    <w:unhideWhenUsed/>
    <w:rsid w:val="000b052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8"/>
    <w:uiPriority w:val="99"/>
    <w:semiHidden/>
    <w:unhideWhenUsed/>
    <w:rsid w:val="000b052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aa1b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22">
    <w:name w:val="Обычный (веб)"/>
    <w:basedOn w:val="Normal"/>
    <w:qFormat/>
    <w:pPr>
      <w:spacing w:before="280" w:after="280"/>
    </w:pPr>
    <w:rPr>
      <w:sz w:val="24"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5DD05-10A3-43EB-8D84-9EDBF41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LibreOffice/24.8.3.2$Linux_X86_64 LibreOffice_project/480$Build-2</Application>
  <AppVersion>15.0000</AppVersion>
  <Pages>3</Pages>
  <Words>924</Words>
  <Characters>6387</Characters>
  <CharactersWithSpaces>7341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2022-07-04T06:42:00Z</dcterms:created>
  <dc:creator>Зубакина Инна Александровна</dc:creator>
  <dc:description/>
  <dc:language>ru-RU</dc:language>
  <cp:lastModifiedBy/>
  <cp:lastPrinted>2021-04-19T07:11:00Z</cp:lastPrinted>
  <dcterms:modified xsi:type="dcterms:W3CDTF">2025-04-07T15:39:05Z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