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МОНИТОРИНГ ДЕЯТЕЛЬНОСТИ 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субъектов малого и среднего предпринимательства 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 202</w:t>
      </w:r>
      <w:r>
        <w:rPr>
          <w:rFonts w:cs="Times New Roman" w:ascii="Times New Roman" w:hAnsi="Times New Roman"/>
          <w:b/>
          <w:sz w:val="28"/>
          <w:szCs w:val="28"/>
        </w:rPr>
        <w:t>3</w:t>
      </w:r>
      <w:r>
        <w:rPr>
          <w:rFonts w:cs="Times New Roman" w:ascii="Times New Roman" w:hAnsi="Times New Roman"/>
          <w:b/>
          <w:sz w:val="28"/>
          <w:szCs w:val="28"/>
        </w:rPr>
        <w:t xml:space="preserve"> год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Поддержка субъектов малого и среднего предпринимательства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/>
      </w:r>
    </w:p>
    <w:p>
      <w:pPr>
        <w:pStyle w:val="Normal"/>
        <w:spacing w:lineRule="atLeast" w:line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ab/>
      </w:r>
      <w:r>
        <w:rPr>
          <w:rFonts w:cs="Times New Roman" w:ascii="Times New Roman" w:hAnsi="Times New Roman"/>
          <w:sz w:val="28"/>
          <w:szCs w:val="28"/>
          <w:lang w:eastAsia="ru-RU"/>
        </w:rPr>
        <w:t>Одно из главных направлений в социально-экономическом развитии округа занимает малый бизнес, поскольку именно он создает новые рабочие места, способствует увеличению налоговых поступлений в бюджет, форми</w:t>
        <w:softHyphen/>
        <w:t>рует конкурентную среду и поддерживает активность населения.</w:t>
      </w:r>
    </w:p>
    <w:p>
      <w:pPr>
        <w:pStyle w:val="Normal"/>
        <w:widowControl w:val="fals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По состоянию на 01 января 2024 года на территории округа заре</w:t>
        <w:softHyphen/>
        <w:t>гистрировано 3 средних и 2 малых предприятия, 11 микропредприятий, 444 индивидуальных предпринимателя и 406 глав КФХ.</w:t>
      </w:r>
      <w:r>
        <w:rPr>
          <w:rFonts w:ascii="Times New Roman" w:hAnsi="Times New Roman"/>
          <w:sz w:val="28"/>
          <w:szCs w:val="28"/>
          <w:lang w:eastAsia="ru-RU"/>
        </w:rPr>
        <w:t xml:space="preserve"> С</w:t>
      </w:r>
      <w:r>
        <w:rPr>
          <w:rFonts w:ascii="Times New Roman" w:hAnsi="Times New Roman"/>
          <w:sz w:val="28"/>
          <w:szCs w:val="28"/>
        </w:rPr>
        <w:t>труктура хозяйст</w:t>
        <w:softHyphen/>
        <w:t>вую</w:t>
        <w:softHyphen/>
        <w:t>щих субъектов по видам экономической деятельности существенно не изме</w:t>
        <w:softHyphen/>
        <w:t xml:space="preserve">нилась. </w:t>
      </w:r>
      <w:r>
        <w:rPr>
          <w:rFonts w:ascii="Times New Roman" w:hAnsi="Times New Roman"/>
          <w:sz w:val="28"/>
          <w:szCs w:val="28"/>
          <w:lang w:eastAsia="ru-RU"/>
        </w:rPr>
        <w:t>Основная доля субъектов малого и среднего предприниматель</w:t>
        <w:softHyphen/>
        <w:t>ства сконцентрирована в сельском хозяйстве, розничной торговле и сфере платных и бытовых услуг.</w:t>
      </w:r>
    </w:p>
    <w:p>
      <w:pPr>
        <w:pStyle w:val="Normal"/>
        <w:spacing w:lineRule="atLeast" w:line="20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Государственной поддержкой в 2023 году через Фонд микрофинанси</w:t>
        <w:softHyphen/>
        <w:t>рования воспользо</w:t>
        <w:softHyphen/>
        <w:t>валось 22 субъекта малого и среднего предпринимательства. Общая сумма поддержки составила 41,97 млн. рублей.</w:t>
      </w:r>
    </w:p>
    <w:p>
      <w:pPr>
        <w:pStyle w:val="Normal"/>
        <w:spacing w:lineRule="atLeast" w:line="200"/>
        <w:ind w:firstLine="708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помощью выплаты по социальному контракту 10 человек округа начали свое дело, зарегистрировавшись, как индивидуальный предприниматель или самозанятый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color w:val="000000"/>
          <w:sz w:val="28"/>
          <w:szCs w:val="28"/>
        </w:rPr>
        <w:t xml:space="preserve">предоставление услуг парикмахерскими, ремонтно-строительные работы, услуги по перманентному макияжу, услуги по доставке продуктов питания и др.), в также 11 - </w:t>
      </w:r>
      <w:r>
        <w:rPr>
          <w:rFonts w:cs="Tahoma" w:ascii="Times New Roman" w:hAnsi="Times New Roman"/>
          <w:kern w:val="2"/>
          <w:sz w:val="28"/>
          <w:szCs w:val="28"/>
          <w:lang w:eastAsia="hi-IN" w:bidi="hi-IN"/>
        </w:rPr>
        <w:t>ведение личного подсобного хозяйства.</w:t>
      </w:r>
    </w:p>
    <w:p>
      <w:pPr>
        <w:pStyle w:val="Normal"/>
        <w:spacing w:lineRule="atLeast" w:line="200"/>
        <w:ind w:firstLine="708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ГКУ Службой занятости населения Ставропольского края «Краевой кадровый центр» оказана финансовая поддержка для открытия собственного дела трем гражданам в сумме 73,5 тыс. рублей каждому (с. Овощи – животноводство, п. Владимировка – розничная торговля, услуги парикмахерской).</w:t>
      </w:r>
    </w:p>
    <w:p>
      <w:pPr>
        <w:pStyle w:val="Normal"/>
        <w:spacing w:lineRule="atLeast" w:line="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Информационная поддержка субъектов малого и среднего предпринимательства осуществляется в виде предоставления актуальной информации на официальном сайте администрации Туркменского муниципального округа и в информационных ресурсах: </w:t>
      </w:r>
      <w:r>
        <w:rPr>
          <w:rFonts w:ascii="Times New Roman" w:hAnsi="Times New Roman"/>
          <w:sz w:val="28"/>
          <w:szCs w:val="28"/>
          <w:lang w:val="en-US"/>
        </w:rPr>
        <w:t>Telegram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WhatsApp</w:t>
      </w:r>
      <w:r>
        <w:rPr>
          <w:rFonts w:ascii="Times New Roman" w:hAnsi="Times New Roman"/>
          <w:sz w:val="28"/>
          <w:szCs w:val="28"/>
        </w:rPr>
        <w:t xml:space="preserve"> и смс-сообщений.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целях активизации работы за истекший период 2023 года по взаимодействию администрации округа с субъектами предпринимательства проведено: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- 5 заседаний координационного совета по развитию малого и среднего предпринимательства в Туркменском муниципальном округе Ставропольского края;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- 6 заседаний координационного совета по развитию инвестиционной деятельности и конкуренции на территории Туркменского муниципального округа Ставропольского края.</w:t>
      </w:r>
    </w:p>
    <w:p>
      <w:pPr>
        <w:pStyle w:val="Normal"/>
        <w:spacing w:lineRule="atLeast" w:line="200"/>
        <w:ind w:firstLine="708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Специалистами администрации оказана консультационная поддержка 15 субъектам МСП и 5 самозанятым.</w:t>
      </w:r>
    </w:p>
    <w:p>
      <w:pPr>
        <w:pStyle w:val="Normal"/>
        <w:shd w:fill="FFFFFF" w:val="clear"/>
        <w:ind w:firstLine="708" w:right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оказания имущественной поддержки субъектам предпринимательства округа утвержден перечень му</w:t>
        <w:softHyphen/>
        <w:t>ниципаль</w:t>
        <w:softHyphen/>
        <w:t>ного имущества,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свободного от прав третьих лиц, предназначенного для пре</w:t>
        <w:softHyphen/>
        <w:t>доставления во владение и (или) в пользование на долгосрочной ос</w:t>
        <w:softHyphen/>
        <w:t>нове (в том числе по льготным ставкам арендной платы) субъектам малого и среднего предпринимательства, организациям, физическим лицам, не являю</w:t>
        <w:softHyphen/>
        <w:t>щимся ин</w:t>
        <w:softHyphen/>
        <w:t>дивидуальными предпринимателями и применяющих специальный налоговый режим «Налог на профессиональный доход», образующим инфра</w:t>
        <w:softHyphen/>
        <w:t xml:space="preserve">структуру поддержки субъектов малого и среднего предпринимательства. В перечень </w:t>
      </w:r>
      <w:r>
        <w:rPr>
          <w:rFonts w:ascii="Times New Roman" w:hAnsi="Times New Roman"/>
          <w:sz w:val="28"/>
          <w:szCs w:val="28"/>
        </w:rPr>
        <w:t>включены 13 объектов муниципального имущества, в том числе 8 земельных участков.</w:t>
      </w:r>
    </w:p>
    <w:p>
      <w:pPr>
        <w:pStyle w:val="Normal"/>
        <w:spacing w:lineRule="atLeast" w:line="20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округе продолжается реализация инвестиционных проектов с участием субъектов малого предпринимательства. На территории муниципального округа реализовались следующие проекты: открытие магазинов «Арт-декор»,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«Все для дома», «Wow-studio», «Цветы», «Пятерочка»,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открытие кафе «Хатико» и бара «Lounge bar «Густой» в с. Летняя Ставка, открытие автомойки, пунктов выдачи товаров </w:t>
      </w:r>
      <w:r>
        <w:rPr>
          <w:rFonts w:cs="Times New Roman" w:ascii="Times New Roman" w:hAnsi="Times New Roman"/>
          <w:color w:val="000000"/>
          <w:sz w:val="28"/>
          <w:szCs w:val="28"/>
          <w:lang w:val="en-US"/>
        </w:rPr>
        <w:t>Wildberries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и OZON и др.</w:t>
      </w:r>
    </w:p>
    <w:p>
      <w:pPr>
        <w:pStyle w:val="Normal"/>
        <w:spacing w:lineRule="atLeast" w:line="200"/>
        <w:jc w:val="both"/>
        <w:rPr>
          <w:rFonts w:cs="Times New Roman"/>
          <w:color w:val="000000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Потребительский рынок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spacing w:before="0" w:after="0"/>
        <w:jc w:val="both"/>
        <w:rPr/>
      </w:pPr>
      <w:r>
        <w:rPr>
          <w:rStyle w:val="Strong"/>
          <w:rFonts w:ascii="Times New Roman" w:hAnsi="Times New Roman"/>
          <w:b w:val="false"/>
          <w:sz w:val="28"/>
          <w:szCs w:val="28"/>
        </w:rPr>
        <w:tab/>
        <w:t>Потребительский рынок является одной из важнейших сфер жизне</w:t>
        <w:softHyphen/>
        <w:t>обес</w:t>
        <w:softHyphen/>
        <w:t>печения населения, который включает в себя сферу розничной торговли, выполне</w:t>
        <w:softHyphen/>
        <w:t>ния работ и оказания услуг.</w:t>
      </w:r>
    </w:p>
    <w:p>
      <w:pPr>
        <w:pStyle w:val="Normal"/>
        <w:spacing w:lineRule="atLeast" w:line="200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 01 января 2024 года в округе сеть предприятий торговли составила 143 единицы с общей площадью более 11 000 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.          </w:t>
      </w:r>
    </w:p>
    <w:p>
      <w:pPr>
        <w:pStyle w:val="Normal"/>
        <w:spacing w:lineRule="atLeast" w:line="200"/>
        <w:ind w:right="-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Согласно данных статистики за 2023 год оборот розничной торговли крупных и средних предприятий всех видов экономической деятельности составил 351,8 млн. руб. (2022 г. - 308,8 млн. руб.) В расчете на одного жителя округа приобретено товаров на сумму 15,97 тыс. рублей (2022 г. - 13,89 тыс. руб.).</w:t>
      </w:r>
    </w:p>
    <w:p>
      <w:pPr>
        <w:pStyle w:val="Normal"/>
        <w:spacing w:lineRule="atLeast" w:line="200"/>
        <w:ind w:right="-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Основная доля в обороте розничной торговли приходится на с. Летняя Ставка, что является следствием более высокой платежеспособности прожи</w:t>
        <w:softHyphen/>
        <w:t>вающего здесь населения и расположения 1/3 всех розничных торговых объ</w:t>
        <w:softHyphen/>
        <w:t>ек</w:t>
        <w:softHyphen/>
        <w:t>тов округа.</w:t>
      </w:r>
    </w:p>
    <w:p>
      <w:pPr>
        <w:pStyle w:val="Normal"/>
        <w:spacing w:lineRule="atLeast" w:line="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Для более полного удовлетворения потребительского спроса насе</w:t>
        <w:softHyphen/>
        <w:t>ле</w:t>
        <w:softHyphen/>
        <w:t>ния  товарами утверждена схема размещения нестационарных торговых объектов, в которой определено 176 места нестационарной торговли, в том числе 148 - по продаже сельскохозяйственной продукции и продовольственных товаров.</w:t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На территории округа еженедельно в установленные графиком дни проводятся ярмарки «одного дня». </w:t>
      </w:r>
    </w:p>
    <w:p>
      <w:pPr>
        <w:pStyle w:val="Style22"/>
        <w:tabs>
          <w:tab w:val="clear" w:pos="708"/>
          <w:tab w:val="left" w:pos="709" w:leader="none"/>
          <w:tab w:val="left" w:pos="851" w:leader="none"/>
        </w:tabs>
        <w:spacing w:before="0" w:after="0"/>
        <w:jc w:val="both"/>
        <w:rPr/>
      </w:pPr>
      <w:r>
        <w:rPr>
          <w:rStyle w:val="Strong"/>
          <w:rFonts w:ascii="Times New Roman" w:hAnsi="Times New Roman"/>
          <w:b w:val="false"/>
          <w:sz w:val="28"/>
          <w:szCs w:val="28"/>
        </w:rPr>
        <w:tab/>
        <w:t>Сфера бытового обслуживания представлена следующими видами бытовых услуг: техническое обслуживание и ремонт автотранспортных средств, деятельность в области фотографии, ремонт электронной бытовой техники, ремонт обуви и прочих изделий из кожи, ремонт часов и ювелирных изделий, ремонт одежды, предоставление услуг парикмахерскими и салонами красоты. Вместе с тем основные виды бытовых услуг оказываются предпринимателями округа в с. Летняя Ставка.</w:t>
      </w:r>
      <w:bookmarkStart w:id="0" w:name="_Hlk92959653"/>
      <w:r>
        <w:rPr>
          <w:rFonts w:ascii="Times New Roman" w:hAnsi="Times New Roman"/>
          <w:sz w:val="28"/>
          <w:szCs w:val="28"/>
        </w:rPr>
        <w:t xml:space="preserve">  </w:t>
      </w:r>
      <w:bookmarkEnd w:id="0"/>
      <w:r>
        <w:rPr>
          <w:rFonts w:ascii="Times New Roman" w:hAnsi="Times New Roman"/>
          <w:sz w:val="28"/>
          <w:szCs w:val="28"/>
        </w:rPr>
        <w:tab/>
      </w:r>
    </w:p>
    <w:p>
      <w:pPr>
        <w:pStyle w:val="BodyText"/>
        <w:spacing w:lineRule="auto" w:line="240" w:before="0" w:after="0"/>
        <w:ind w:firstLine="708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Платных услуг (оценочно) оказано населению на сумму 358,6 млн. рублей (2022 г. – 329,0 млн. рублей). На 1 жителя округа оказано платных услуг на сумму 16 141 рублей (2022 г. – 14 556 рублей). </w:t>
      </w:r>
    </w:p>
    <w:p>
      <w:pPr>
        <w:pStyle w:val="BodyText"/>
        <w:spacing w:lineRule="auto" w:line="240" w:before="0" w:after="0"/>
        <w:ind w:firstLine="708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На 01 января 2024 года </w:t>
      </w:r>
      <w:r>
        <w:rPr>
          <w:rFonts w:ascii="Times New Roman" w:hAnsi="Times New Roman"/>
          <w:color w:val="000000"/>
          <w:sz w:val="28"/>
          <w:szCs w:val="28"/>
          <w:shd w:fill="auto" w:val="clear"/>
        </w:rPr>
        <w:t>в округе функционирует 12 об</w:t>
      </w:r>
      <w:r>
        <w:rPr>
          <w:rFonts w:ascii="Times New Roman" w:hAnsi="Times New Roman"/>
          <w:color w:val="000000"/>
          <w:sz w:val="28"/>
          <w:szCs w:val="28"/>
        </w:rPr>
        <w:t>ъектов обще</w:t>
        <w:softHyphen/>
        <w:t>ственного питания на 550 посадочных мест.</w:t>
      </w:r>
      <w:r>
        <w:rPr>
          <w:rFonts w:ascii="Times New Roman" w:hAnsi="Times New Roman"/>
          <w:sz w:val="28"/>
          <w:szCs w:val="28"/>
        </w:rPr>
        <w:t xml:space="preserve"> Оценочно оборот общественного питания по округу составил 6,54 млн. рублей, что составляет 103,0 % к уровню прошлого года.</w:t>
      </w:r>
    </w:p>
    <w:sectPr>
      <w:type w:val="nextPage"/>
      <w:pgSz w:w="11906" w:h="16838"/>
      <w:pgMar w:left="1701" w:right="850" w:gutter="0" w:header="0" w:top="1134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ourier New CYR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d4030"/>
    <w:pPr>
      <w:widowControl/>
      <w:bidi w:val="0"/>
      <w:spacing w:lineRule="auto" w:line="240" w:before="0" w:after="0"/>
      <w:jc w:val="left"/>
    </w:pPr>
    <w:rPr>
      <w:rFonts w:ascii="Courier New CYR" w:hAnsi="Courier New CYR" w:eastAsia="Calibri" w:cs="Courier New CYR" w:eastAsiaTheme="minorHAnsi"/>
      <w:color w:val="auto"/>
      <w:kern w:val="0"/>
      <w:sz w:val="18"/>
      <w:szCs w:val="18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SpacingChar" w:customStyle="1">
    <w:name w:val="No Spacing Char"/>
    <w:link w:val="NoSpacing1"/>
    <w:qFormat/>
    <w:locked/>
    <w:rsid w:val="006d4030"/>
    <w:rPr>
      <w:rFonts w:ascii="Calibri" w:hAnsi="Calibri" w:eastAsia="Times New Roman" w:cs="Times New Roman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uiPriority w:val="99"/>
    <w:qFormat/>
    <w:rsid w:val="006d4030"/>
    <w:rPr>
      <w:rFonts w:ascii="Calibri" w:hAnsi="Calibri" w:eastAsia="Calibri" w:cs="Calibri"/>
      <w:lang w:eastAsia="ru-RU"/>
    </w:rPr>
  </w:style>
  <w:style w:type="character" w:styleId="Style14" w:customStyle="1">
    <w:name w:val="Без интервала Знак"/>
    <w:basedOn w:val="DefaultParagraphFont"/>
    <w:link w:val="NoSpacing"/>
    <w:uiPriority w:val="1"/>
    <w:qFormat/>
    <w:locked/>
    <w:rsid w:val="006d4030"/>
    <w:rPr>
      <w:rFonts w:ascii="Times New Roman" w:hAnsi="Times New Roman" w:eastAsia="Times New Roman" w:cs="Times New Roman"/>
      <w:sz w:val="28"/>
      <w:szCs w:val="28"/>
    </w:rPr>
  </w:style>
  <w:style w:type="character" w:styleId="Apple-converted-space" w:customStyle="1">
    <w:name w:val="apple-converted-space"/>
    <w:basedOn w:val="DefaultParagraphFont"/>
    <w:qFormat/>
    <w:rsid w:val="006e2e8d"/>
    <w:rPr/>
  </w:style>
  <w:style w:type="character" w:styleId="Style15" w:customStyle="1">
    <w:name w:val="Основной текст Знак"/>
    <w:basedOn w:val="DefaultParagraphFont"/>
    <w:uiPriority w:val="99"/>
    <w:semiHidden/>
    <w:qFormat/>
    <w:rsid w:val="009b73d1"/>
    <w:rPr>
      <w:rFonts w:ascii="Courier New CYR" w:hAnsi="Courier New CYR" w:eastAsia="Calibri" w:cs="Courier New CYR"/>
      <w:sz w:val="18"/>
      <w:szCs w:val="18"/>
      <w:lang w:eastAsia="ru-RU"/>
    </w:rPr>
  </w:style>
  <w:style w:type="character" w:styleId="Style16" w:customStyle="1">
    <w:name w:val="Красная строка Знак"/>
    <w:basedOn w:val="Style15"/>
    <w:uiPriority w:val="99"/>
    <w:semiHidden/>
    <w:qFormat/>
    <w:rsid w:val="009b73d1"/>
    <w:rPr>
      <w:rFonts w:ascii="Courier New CYR" w:hAnsi="Courier New CYR" w:eastAsia="Calibri" w:cs="Courier New CYR"/>
      <w:sz w:val="18"/>
      <w:szCs w:val="18"/>
      <w:lang w:eastAsia="ru-RU"/>
    </w:rPr>
  </w:style>
  <w:style w:type="character" w:styleId="Style17" w:customStyle="1">
    <w:name w:val="Верхний колонтитул Знак"/>
    <w:basedOn w:val="DefaultParagraphFont"/>
    <w:uiPriority w:val="99"/>
    <w:semiHidden/>
    <w:qFormat/>
    <w:rsid w:val="000b0523"/>
    <w:rPr>
      <w:rFonts w:ascii="Courier New CYR" w:hAnsi="Courier New CYR" w:eastAsia="Calibri" w:cs="Courier New CYR"/>
      <w:sz w:val="18"/>
      <w:szCs w:val="18"/>
      <w:lang w:eastAsia="ru-RU"/>
    </w:rPr>
  </w:style>
  <w:style w:type="character" w:styleId="Style18" w:customStyle="1">
    <w:name w:val="Нижний колонтитул Знак"/>
    <w:basedOn w:val="DefaultParagraphFont"/>
    <w:uiPriority w:val="99"/>
    <w:semiHidden/>
    <w:qFormat/>
    <w:rsid w:val="000b0523"/>
    <w:rPr>
      <w:rFonts w:ascii="Courier New CYR" w:hAnsi="Courier New CYR" w:eastAsia="Calibri" w:cs="Courier New CYR"/>
      <w:sz w:val="18"/>
      <w:szCs w:val="18"/>
      <w:lang w:eastAsia="ru-RU"/>
    </w:rPr>
  </w:style>
  <w:style w:type="character" w:styleId="Extended-textshort" w:customStyle="1">
    <w:name w:val="extended-text__short"/>
    <w:basedOn w:val="DefaultParagraphFont"/>
    <w:qFormat/>
    <w:rsid w:val="00aa1bb7"/>
    <w:rPr/>
  </w:style>
  <w:style w:type="character" w:styleId="5">
    <w:name w:val="Основной шрифт абзаца5"/>
    <w:qFormat/>
    <w:rPr/>
  </w:style>
  <w:style w:type="character" w:styleId="Strong">
    <w:name w:val="Strong"/>
    <w:basedOn w:val="5"/>
    <w:qFormat/>
    <w:rPr>
      <w:b/>
      <w:bCs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BodyText">
    <w:name w:val="Body Text"/>
    <w:basedOn w:val="Normal"/>
    <w:link w:val="Style15"/>
    <w:uiPriority w:val="99"/>
    <w:semiHidden/>
    <w:unhideWhenUsed/>
    <w:rsid w:val="009b73d1"/>
    <w:pPr>
      <w:spacing w:before="0" w:after="120"/>
    </w:pPr>
    <w:rPr/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Droid Sans Devanagari"/>
    </w:rPr>
  </w:style>
  <w:style w:type="paragraph" w:styleId="NoSpacing1" w:customStyle="1">
    <w:name w:val="No Spacing1"/>
    <w:link w:val="NoSpacingChar"/>
    <w:qFormat/>
    <w:rsid w:val="006d4030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BodyTextIndent2">
    <w:name w:val="Body Text Indent 2"/>
    <w:basedOn w:val="Normal"/>
    <w:link w:val="2"/>
    <w:uiPriority w:val="99"/>
    <w:qFormat/>
    <w:rsid w:val="006d4030"/>
    <w:pPr>
      <w:spacing w:lineRule="auto" w:line="480" w:before="0" w:after="120"/>
      <w:ind w:left="283"/>
    </w:pPr>
    <w:rPr>
      <w:rFonts w:ascii="Calibri" w:hAnsi="Calibri" w:cs="Calibri"/>
      <w:sz w:val="22"/>
      <w:szCs w:val="22"/>
    </w:rPr>
  </w:style>
  <w:style w:type="paragraph" w:styleId="NoSpacing">
    <w:name w:val="No Spacing"/>
    <w:link w:val="Style14"/>
    <w:uiPriority w:val="1"/>
    <w:qFormat/>
    <w:rsid w:val="006d403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en-US" w:bidi="ar-SA"/>
    </w:rPr>
  </w:style>
  <w:style w:type="paragraph" w:styleId="ConsPlusNormal" w:customStyle="1">
    <w:name w:val="ConsPlusNormal"/>
    <w:qFormat/>
    <w:rsid w:val="009b73d1"/>
    <w:pPr>
      <w:widowControl w:val="fals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eastAsia="ru-RU" w:val="ru-RU" w:bidi="ar-SA"/>
    </w:rPr>
  </w:style>
  <w:style w:type="paragraph" w:styleId="BodyTextFirstIndent">
    <w:name w:val="Body Text First Indent"/>
    <w:basedOn w:val="BodyText"/>
    <w:link w:val="Style16"/>
    <w:uiPriority w:val="99"/>
    <w:semiHidden/>
    <w:unhideWhenUsed/>
    <w:rsid w:val="009b73d1"/>
    <w:pPr>
      <w:spacing w:before="0" w:after="0"/>
      <w:ind w:firstLine="360"/>
    </w:pPr>
    <w:rPr/>
  </w:style>
  <w:style w:type="paragraph" w:styleId="NormalWeb">
    <w:name w:val="Normal (Web)"/>
    <w:basedOn w:val="Normal"/>
    <w:uiPriority w:val="99"/>
    <w:unhideWhenUsed/>
    <w:qFormat/>
    <w:rsid w:val="00ca0e83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1" w:customStyle="1">
    <w:name w:val="Без интервала1"/>
    <w:qFormat/>
    <w:rsid w:val="00f87c45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8"/>
      <w:szCs w:val="22"/>
      <w:lang w:val="ru-RU" w:eastAsia="en-US" w:bidi="ar-SA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7"/>
    <w:uiPriority w:val="99"/>
    <w:semiHidden/>
    <w:unhideWhenUsed/>
    <w:rsid w:val="000b052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8"/>
    <w:uiPriority w:val="99"/>
    <w:semiHidden/>
    <w:unhideWhenUsed/>
    <w:rsid w:val="000b052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aa1bb7"/>
    <w:pPr>
      <w:spacing w:lineRule="auto" w:line="276" w:before="0" w:after="200"/>
      <w:ind w:left="720"/>
      <w:contextualSpacing/>
    </w:pPr>
    <w:rPr>
      <w:rFonts w:ascii="Calibri" w:hAnsi="Calibri" w:eastAsia="Times New Roman" w:cs="Times New Roman"/>
      <w:sz w:val="22"/>
      <w:szCs w:val="22"/>
    </w:rPr>
  </w:style>
  <w:style w:type="paragraph" w:styleId="Style22">
    <w:name w:val="Обычный (веб)"/>
    <w:basedOn w:val="Normal"/>
    <w:qFormat/>
    <w:pPr>
      <w:spacing w:before="280" w:after="280"/>
    </w:pPr>
    <w:rPr>
      <w:sz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5DD05-10A3-43EB-8D84-9EDBF4124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LibreOffice/7.6.5.2$Linux_X86_64 LibreOffice_project/60$Build-2</Application>
  <AppVersion>15.0000</AppVersion>
  <Pages>3</Pages>
  <Words>702</Words>
  <Characters>4921</Characters>
  <CharactersWithSpaces>5631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2022-07-04T06:42:00Z</dcterms:created>
  <dc:creator>Зубакина Инна Александровна</dc:creator>
  <dc:description/>
  <dc:language>ru-RU</dc:language>
  <cp:lastModifiedBy/>
  <cp:lastPrinted>2021-04-19T07:11:00Z</cp:lastPrinted>
  <dcterms:modified xsi:type="dcterms:W3CDTF">2024-04-23T15:34:14Z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